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8C29BB"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8C29BB" w:rsidTr="005F7F7E">
        <w:tc>
          <w:tcPr>
            <w:tcW w:w="2438" w:type="dxa"/>
            <w:shd w:val="clear" w:color="auto" w:fill="auto"/>
          </w:tcPr>
          <w:p w:rsidR="00F445B1" w:rsidRPr="008C29BB" w:rsidRDefault="00F445B1" w:rsidP="004A6D2F">
            <w:pPr>
              <w:rPr>
                <w:rStyle w:val="Firstpagetablebold"/>
              </w:rPr>
            </w:pPr>
            <w:r w:rsidRPr="008C29BB">
              <w:rPr>
                <w:rStyle w:val="Firstpagetablebold"/>
              </w:rPr>
              <w:t>To</w:t>
            </w:r>
            <w:r w:rsidR="005C35A5" w:rsidRPr="008C29BB">
              <w:rPr>
                <w:rStyle w:val="Firstpagetablebold"/>
              </w:rPr>
              <w:t>:</w:t>
            </w:r>
          </w:p>
        </w:tc>
        <w:tc>
          <w:tcPr>
            <w:tcW w:w="6406" w:type="dxa"/>
            <w:shd w:val="clear" w:color="auto" w:fill="auto"/>
          </w:tcPr>
          <w:p w:rsidR="00F445B1" w:rsidRPr="008C29BB" w:rsidRDefault="00F445B1" w:rsidP="004A6D2F">
            <w:pPr>
              <w:rPr>
                <w:rStyle w:val="Firstpagetablebold"/>
              </w:rPr>
            </w:pPr>
            <w:r w:rsidRPr="008C29BB">
              <w:rPr>
                <w:rStyle w:val="Firstpagetablebold"/>
              </w:rPr>
              <w:t>City Executive Board</w:t>
            </w:r>
          </w:p>
        </w:tc>
      </w:tr>
      <w:tr w:rsidR="00CE544A" w:rsidRPr="008C29BB" w:rsidTr="005F7F7E">
        <w:tc>
          <w:tcPr>
            <w:tcW w:w="2438" w:type="dxa"/>
            <w:shd w:val="clear" w:color="auto" w:fill="auto"/>
          </w:tcPr>
          <w:p w:rsidR="00F445B1" w:rsidRPr="008C29BB" w:rsidRDefault="00F445B1" w:rsidP="004A6D2F">
            <w:pPr>
              <w:rPr>
                <w:rStyle w:val="Firstpagetablebold"/>
              </w:rPr>
            </w:pPr>
            <w:r w:rsidRPr="008C29BB">
              <w:rPr>
                <w:rStyle w:val="Firstpagetablebold"/>
              </w:rPr>
              <w:t>Dat</w:t>
            </w:r>
            <w:r w:rsidR="005C35A5" w:rsidRPr="008C29BB">
              <w:rPr>
                <w:rStyle w:val="Firstpagetablebold"/>
              </w:rPr>
              <w:t>e:</w:t>
            </w:r>
          </w:p>
        </w:tc>
        <w:tc>
          <w:tcPr>
            <w:tcW w:w="6406" w:type="dxa"/>
            <w:shd w:val="clear" w:color="auto" w:fill="auto"/>
          </w:tcPr>
          <w:p w:rsidR="00F445B1" w:rsidRPr="008C29BB" w:rsidRDefault="00B86C94" w:rsidP="005D0621">
            <w:pPr>
              <w:rPr>
                <w:b/>
              </w:rPr>
            </w:pPr>
            <w:r w:rsidRPr="008C29BB">
              <w:rPr>
                <w:rStyle w:val="Firstpagetablebold"/>
              </w:rPr>
              <w:t>9 March 2017</w:t>
            </w:r>
          </w:p>
        </w:tc>
      </w:tr>
      <w:tr w:rsidR="00CE544A" w:rsidRPr="008C29BB" w:rsidTr="005F7F7E">
        <w:tc>
          <w:tcPr>
            <w:tcW w:w="2438" w:type="dxa"/>
            <w:shd w:val="clear" w:color="auto" w:fill="auto"/>
          </w:tcPr>
          <w:p w:rsidR="00F445B1" w:rsidRPr="008C29BB" w:rsidRDefault="00F445B1" w:rsidP="004A6D2F">
            <w:pPr>
              <w:rPr>
                <w:rStyle w:val="Firstpagetablebold"/>
              </w:rPr>
            </w:pPr>
            <w:r w:rsidRPr="008C29BB">
              <w:rPr>
                <w:rStyle w:val="Firstpagetablebold"/>
              </w:rPr>
              <w:t>Report of</w:t>
            </w:r>
            <w:r w:rsidR="005C35A5" w:rsidRPr="008C29BB">
              <w:rPr>
                <w:rStyle w:val="Firstpagetablebold"/>
              </w:rPr>
              <w:t>:</w:t>
            </w:r>
          </w:p>
        </w:tc>
        <w:tc>
          <w:tcPr>
            <w:tcW w:w="6406" w:type="dxa"/>
            <w:shd w:val="clear" w:color="auto" w:fill="auto"/>
          </w:tcPr>
          <w:p w:rsidR="00F445B1" w:rsidRPr="008C29BB" w:rsidRDefault="00B86C94" w:rsidP="004A6D2F">
            <w:pPr>
              <w:rPr>
                <w:rStyle w:val="Firstpagetablebold"/>
              </w:rPr>
            </w:pPr>
            <w:r w:rsidRPr="008C29BB">
              <w:rPr>
                <w:rStyle w:val="Firstpagetablebold"/>
              </w:rPr>
              <w:t>Executive Director, Community Services</w:t>
            </w:r>
          </w:p>
        </w:tc>
      </w:tr>
      <w:tr w:rsidR="00CE544A" w:rsidRPr="008C29BB" w:rsidTr="005F7F7E">
        <w:tc>
          <w:tcPr>
            <w:tcW w:w="2438" w:type="dxa"/>
            <w:shd w:val="clear" w:color="auto" w:fill="auto"/>
          </w:tcPr>
          <w:p w:rsidR="00F445B1" w:rsidRPr="008C29BB" w:rsidRDefault="00F445B1" w:rsidP="004A6D2F">
            <w:pPr>
              <w:rPr>
                <w:rStyle w:val="Firstpagetablebold"/>
              </w:rPr>
            </w:pPr>
            <w:r w:rsidRPr="008C29BB">
              <w:rPr>
                <w:rStyle w:val="Firstpagetablebold"/>
              </w:rPr>
              <w:t xml:space="preserve">Title of Report: </w:t>
            </w:r>
          </w:p>
        </w:tc>
        <w:tc>
          <w:tcPr>
            <w:tcW w:w="6406" w:type="dxa"/>
            <w:shd w:val="clear" w:color="auto" w:fill="auto"/>
          </w:tcPr>
          <w:p w:rsidR="00F445B1" w:rsidRPr="008C29BB" w:rsidRDefault="00B86C94" w:rsidP="00644F2D">
            <w:pPr>
              <w:rPr>
                <w:rStyle w:val="Firstpagetablebold"/>
              </w:rPr>
            </w:pPr>
            <w:r w:rsidRPr="008C29BB">
              <w:rPr>
                <w:rStyle w:val="Firstpagetablebold"/>
              </w:rPr>
              <w:t xml:space="preserve">Establishing a Local Authority Trading Company </w:t>
            </w:r>
          </w:p>
        </w:tc>
      </w:tr>
    </w:tbl>
    <w:p w:rsidR="004F20EF" w:rsidRPr="008C29BB"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RPr="008C29BB" w:rsidTr="0080749A">
        <w:tc>
          <w:tcPr>
            <w:tcW w:w="8845" w:type="dxa"/>
            <w:gridSpan w:val="3"/>
            <w:tcBorders>
              <w:bottom w:val="single" w:sz="8" w:space="0" w:color="000000"/>
            </w:tcBorders>
            <w:hideMark/>
          </w:tcPr>
          <w:p w:rsidR="00D5547E" w:rsidRPr="008C29BB" w:rsidRDefault="00745BF0" w:rsidP="00745BF0">
            <w:pPr>
              <w:jc w:val="center"/>
              <w:rPr>
                <w:rStyle w:val="Firstpagetablebold"/>
              </w:rPr>
            </w:pPr>
            <w:r w:rsidRPr="008C29BB">
              <w:rPr>
                <w:rStyle w:val="Firstpagetablebold"/>
              </w:rPr>
              <w:t>Summary and r</w:t>
            </w:r>
            <w:r w:rsidR="00D5547E" w:rsidRPr="008C29BB">
              <w:rPr>
                <w:rStyle w:val="Firstpagetablebold"/>
              </w:rPr>
              <w:t>ecommendations</w:t>
            </w:r>
          </w:p>
        </w:tc>
      </w:tr>
      <w:tr w:rsidR="00D5547E" w:rsidRPr="008C29BB" w:rsidTr="0080749A">
        <w:tc>
          <w:tcPr>
            <w:tcW w:w="2438" w:type="dxa"/>
            <w:gridSpan w:val="2"/>
            <w:tcBorders>
              <w:top w:val="single" w:sz="8" w:space="0" w:color="000000"/>
              <w:left w:val="single" w:sz="8" w:space="0" w:color="000000"/>
              <w:bottom w:val="nil"/>
              <w:right w:val="nil"/>
            </w:tcBorders>
            <w:hideMark/>
          </w:tcPr>
          <w:p w:rsidR="00D5547E" w:rsidRPr="008C29BB" w:rsidRDefault="00D5547E">
            <w:pPr>
              <w:rPr>
                <w:rStyle w:val="Firstpagetablebold"/>
              </w:rPr>
            </w:pPr>
            <w:r w:rsidRPr="008C29BB">
              <w:rPr>
                <w:rStyle w:val="Firstpagetablebold"/>
              </w:rPr>
              <w:t>Purpose of report:</w:t>
            </w:r>
          </w:p>
        </w:tc>
        <w:tc>
          <w:tcPr>
            <w:tcW w:w="6407" w:type="dxa"/>
            <w:tcBorders>
              <w:top w:val="single" w:sz="8" w:space="0" w:color="000000"/>
              <w:left w:val="nil"/>
              <w:bottom w:val="nil"/>
              <w:right w:val="single" w:sz="8" w:space="0" w:color="000000"/>
            </w:tcBorders>
            <w:hideMark/>
          </w:tcPr>
          <w:p w:rsidR="00B86C94" w:rsidRPr="008C29BB" w:rsidRDefault="00B86C94" w:rsidP="00B86C94">
            <w:pPr>
              <w:autoSpaceDE w:val="0"/>
              <w:autoSpaceDN w:val="0"/>
              <w:adjustRightInd w:val="0"/>
              <w:spacing w:after="0"/>
              <w:rPr>
                <w:rFonts w:ascii="ArialMT" w:hAnsi="ArialMT" w:cs="ArialMT"/>
                <w:color w:val="auto"/>
              </w:rPr>
            </w:pPr>
            <w:r w:rsidRPr="008C29BB">
              <w:rPr>
                <w:rFonts w:ascii="ArialMT" w:hAnsi="ArialMT" w:cs="ArialMT"/>
                <w:color w:val="auto"/>
              </w:rPr>
              <w:t>To present the business case and seek approval for the</w:t>
            </w:r>
          </w:p>
          <w:p w:rsidR="00D5547E" w:rsidRPr="008C29BB" w:rsidRDefault="00294020" w:rsidP="00B86C94">
            <w:pPr>
              <w:autoSpaceDE w:val="0"/>
              <w:autoSpaceDN w:val="0"/>
              <w:adjustRightInd w:val="0"/>
              <w:spacing w:after="0"/>
              <w:rPr>
                <w:rFonts w:ascii="ArialMT" w:hAnsi="ArialMT" w:cs="ArialMT"/>
                <w:color w:val="auto"/>
              </w:rPr>
            </w:pPr>
            <w:r w:rsidRPr="008C29BB">
              <w:rPr>
                <w:rFonts w:ascii="ArialMT" w:hAnsi="ArialMT" w:cs="ArialMT"/>
                <w:color w:val="auto"/>
              </w:rPr>
              <w:t>establishment of a Local Authority Trading C</w:t>
            </w:r>
            <w:r w:rsidR="00B86C94" w:rsidRPr="008C29BB">
              <w:rPr>
                <w:rFonts w:ascii="ArialMT" w:hAnsi="ArialMT" w:cs="ArialMT"/>
                <w:color w:val="auto"/>
              </w:rPr>
              <w:t>ompany</w:t>
            </w:r>
            <w:r w:rsidR="008F656A" w:rsidRPr="008C29BB">
              <w:rPr>
                <w:rFonts w:ascii="ArialMT" w:hAnsi="ArialMT" w:cs="ArialMT"/>
                <w:color w:val="auto"/>
              </w:rPr>
              <w:t xml:space="preserve"> </w:t>
            </w:r>
          </w:p>
          <w:p w:rsidR="00B86C94" w:rsidRPr="008C29BB" w:rsidRDefault="00B86C94" w:rsidP="00B86C94">
            <w:pPr>
              <w:autoSpaceDE w:val="0"/>
              <w:autoSpaceDN w:val="0"/>
              <w:adjustRightInd w:val="0"/>
              <w:spacing w:after="0"/>
            </w:pPr>
          </w:p>
        </w:tc>
      </w:tr>
      <w:tr w:rsidR="00D5547E" w:rsidRPr="008C29BB" w:rsidTr="0080749A">
        <w:tc>
          <w:tcPr>
            <w:tcW w:w="2438" w:type="dxa"/>
            <w:gridSpan w:val="2"/>
            <w:tcBorders>
              <w:top w:val="nil"/>
              <w:left w:val="single" w:sz="8" w:space="0" w:color="000000"/>
              <w:bottom w:val="nil"/>
              <w:right w:val="nil"/>
            </w:tcBorders>
            <w:hideMark/>
          </w:tcPr>
          <w:p w:rsidR="00D5547E" w:rsidRPr="008C29BB" w:rsidRDefault="00D5547E">
            <w:pPr>
              <w:rPr>
                <w:rStyle w:val="Firstpagetablebold"/>
              </w:rPr>
            </w:pPr>
            <w:r w:rsidRPr="008C29BB">
              <w:rPr>
                <w:rStyle w:val="Firstpagetablebold"/>
              </w:rPr>
              <w:t>Key decision:</w:t>
            </w:r>
          </w:p>
        </w:tc>
        <w:tc>
          <w:tcPr>
            <w:tcW w:w="6407" w:type="dxa"/>
            <w:tcBorders>
              <w:top w:val="nil"/>
              <w:left w:val="nil"/>
              <w:bottom w:val="nil"/>
              <w:right w:val="single" w:sz="8" w:space="0" w:color="000000"/>
            </w:tcBorders>
            <w:hideMark/>
          </w:tcPr>
          <w:p w:rsidR="00D5547E" w:rsidRPr="008C29BB" w:rsidRDefault="00D5547E" w:rsidP="005F7F7E">
            <w:r w:rsidRPr="008C29BB">
              <w:t>Yes</w:t>
            </w:r>
          </w:p>
        </w:tc>
      </w:tr>
      <w:tr w:rsidR="00D5547E" w:rsidRPr="008C29BB" w:rsidTr="0080749A">
        <w:tc>
          <w:tcPr>
            <w:tcW w:w="2438" w:type="dxa"/>
            <w:gridSpan w:val="2"/>
            <w:tcBorders>
              <w:top w:val="nil"/>
              <w:left w:val="single" w:sz="8" w:space="0" w:color="000000"/>
              <w:bottom w:val="nil"/>
              <w:right w:val="nil"/>
            </w:tcBorders>
            <w:hideMark/>
          </w:tcPr>
          <w:p w:rsidR="00D5547E" w:rsidRPr="008C29BB" w:rsidRDefault="00D5547E">
            <w:pPr>
              <w:rPr>
                <w:rStyle w:val="Firstpagetablebold"/>
              </w:rPr>
            </w:pPr>
            <w:r w:rsidRPr="008C29BB">
              <w:rPr>
                <w:rStyle w:val="Firstpagetablebold"/>
              </w:rPr>
              <w:t>Executive Board Member</w:t>
            </w:r>
            <w:r w:rsidR="00CA7881">
              <w:rPr>
                <w:rStyle w:val="Firstpagetablebold"/>
              </w:rPr>
              <w:t>s</w:t>
            </w:r>
            <w:r w:rsidRPr="008C29BB">
              <w:rPr>
                <w:rStyle w:val="Firstpagetablebold"/>
              </w:rPr>
              <w:t>:</w:t>
            </w:r>
          </w:p>
        </w:tc>
        <w:tc>
          <w:tcPr>
            <w:tcW w:w="6407" w:type="dxa"/>
            <w:tcBorders>
              <w:top w:val="nil"/>
              <w:left w:val="nil"/>
              <w:bottom w:val="nil"/>
              <w:right w:val="single" w:sz="8" w:space="0" w:color="000000"/>
            </w:tcBorders>
            <w:hideMark/>
          </w:tcPr>
          <w:p w:rsidR="00FC25A9" w:rsidRPr="0064642D" w:rsidRDefault="0064642D" w:rsidP="0064642D">
            <w:pPr>
              <w:rPr>
                <w:lang w:val="en"/>
              </w:rPr>
            </w:pPr>
            <w:r>
              <w:t>Cllrs</w:t>
            </w:r>
            <w:r w:rsidR="00D5547E" w:rsidRPr="008C29BB">
              <w:t xml:space="preserve"> </w:t>
            </w:r>
            <w:r w:rsidR="00F863DF" w:rsidRPr="008C29BB">
              <w:t>Ed Turner</w:t>
            </w:r>
            <w:r>
              <w:t xml:space="preserve">, </w:t>
            </w:r>
            <w:r w:rsidR="00F863DF" w:rsidRPr="008C29BB">
              <w:rPr>
                <w:lang w:val="en"/>
              </w:rPr>
              <w:t>Finance, Asset Management and Public Health</w:t>
            </w:r>
            <w:r>
              <w:rPr>
                <w:lang w:val="en"/>
              </w:rPr>
              <w:t xml:space="preserve">; </w:t>
            </w:r>
            <w:r w:rsidR="00FC25A9">
              <w:rPr>
                <w:lang w:val="en"/>
              </w:rPr>
              <w:t xml:space="preserve"> Susan Brown</w:t>
            </w:r>
            <w:r>
              <w:rPr>
                <w:lang w:val="en"/>
              </w:rPr>
              <w:t>,</w:t>
            </w:r>
            <w:r w:rsidR="00FC25A9">
              <w:rPr>
                <w:lang w:val="en"/>
              </w:rPr>
              <w:t xml:space="preserve"> Customer and Corporate Services</w:t>
            </w:r>
            <w:r>
              <w:rPr>
                <w:lang w:val="en"/>
              </w:rPr>
              <w:t xml:space="preserve">, and </w:t>
            </w:r>
            <w:r w:rsidR="00FC25A9">
              <w:rPr>
                <w:lang w:val="en"/>
              </w:rPr>
              <w:t>John Tanner</w:t>
            </w:r>
            <w:r>
              <w:rPr>
                <w:lang w:val="en"/>
              </w:rPr>
              <w:t xml:space="preserve">, </w:t>
            </w:r>
            <w:r w:rsidR="00FC25A9">
              <w:rPr>
                <w:lang w:val="en"/>
              </w:rPr>
              <w:t xml:space="preserve"> A Clean and Green Oxford</w:t>
            </w:r>
          </w:p>
        </w:tc>
      </w:tr>
      <w:tr w:rsidR="0080749A" w:rsidRPr="008C29BB" w:rsidTr="0080749A">
        <w:tc>
          <w:tcPr>
            <w:tcW w:w="2438" w:type="dxa"/>
            <w:gridSpan w:val="2"/>
            <w:tcBorders>
              <w:top w:val="nil"/>
              <w:left w:val="single" w:sz="8" w:space="0" w:color="000000"/>
              <w:bottom w:val="nil"/>
              <w:right w:val="nil"/>
            </w:tcBorders>
          </w:tcPr>
          <w:p w:rsidR="0080749A" w:rsidRPr="008C29BB" w:rsidRDefault="0080749A">
            <w:pPr>
              <w:rPr>
                <w:rStyle w:val="Firstpagetablebold"/>
              </w:rPr>
            </w:pPr>
            <w:r w:rsidRPr="008C29BB">
              <w:rPr>
                <w:rStyle w:val="Firstpagetablebold"/>
              </w:rPr>
              <w:t>Corporate Priority:</w:t>
            </w:r>
          </w:p>
        </w:tc>
        <w:tc>
          <w:tcPr>
            <w:tcW w:w="6407" w:type="dxa"/>
            <w:tcBorders>
              <w:top w:val="nil"/>
              <w:left w:val="nil"/>
              <w:bottom w:val="nil"/>
              <w:right w:val="single" w:sz="8" w:space="0" w:color="000000"/>
            </w:tcBorders>
          </w:tcPr>
          <w:p w:rsidR="0080749A" w:rsidRPr="008C29BB" w:rsidRDefault="008F656A" w:rsidP="005F7F7E">
            <w:r w:rsidRPr="008C29BB">
              <w:t>Efficient &amp; Effective Council</w:t>
            </w:r>
          </w:p>
        </w:tc>
      </w:tr>
      <w:tr w:rsidR="00D5547E" w:rsidRPr="008C29BB" w:rsidTr="0080749A">
        <w:tc>
          <w:tcPr>
            <w:tcW w:w="2438" w:type="dxa"/>
            <w:gridSpan w:val="2"/>
            <w:tcBorders>
              <w:top w:val="nil"/>
              <w:left w:val="single" w:sz="8" w:space="0" w:color="000000"/>
              <w:bottom w:val="nil"/>
              <w:right w:val="nil"/>
            </w:tcBorders>
            <w:hideMark/>
          </w:tcPr>
          <w:p w:rsidR="00D5547E" w:rsidRPr="008C29BB" w:rsidRDefault="00D5547E">
            <w:pPr>
              <w:rPr>
                <w:rStyle w:val="Firstpagetablebold"/>
              </w:rPr>
            </w:pPr>
            <w:r w:rsidRPr="008C29BB">
              <w:rPr>
                <w:rStyle w:val="Firstpagetablebold"/>
              </w:rPr>
              <w:t>Policy Framework:</w:t>
            </w:r>
          </w:p>
        </w:tc>
        <w:tc>
          <w:tcPr>
            <w:tcW w:w="6407" w:type="dxa"/>
            <w:tcBorders>
              <w:top w:val="nil"/>
              <w:left w:val="nil"/>
              <w:bottom w:val="nil"/>
              <w:right w:val="single" w:sz="8" w:space="0" w:color="000000"/>
            </w:tcBorders>
            <w:hideMark/>
          </w:tcPr>
          <w:p w:rsidR="00D5547E" w:rsidRPr="008C29BB" w:rsidRDefault="0064642D" w:rsidP="005F7F7E">
            <w:r>
              <w:t>None</w:t>
            </w:r>
          </w:p>
        </w:tc>
      </w:tr>
      <w:tr w:rsidR="005F7F7E" w:rsidRPr="008C29BB" w:rsidTr="00A46E98">
        <w:trPr>
          <w:trHeight w:val="413"/>
        </w:trPr>
        <w:tc>
          <w:tcPr>
            <w:tcW w:w="8845" w:type="dxa"/>
            <w:gridSpan w:val="3"/>
            <w:tcBorders>
              <w:bottom w:val="single" w:sz="8" w:space="0" w:color="000000"/>
            </w:tcBorders>
          </w:tcPr>
          <w:p w:rsidR="005F7F7E" w:rsidRPr="008C29BB" w:rsidRDefault="0064642D" w:rsidP="004A6D2F">
            <w:r>
              <w:rPr>
                <w:rStyle w:val="Firstpagetablebold"/>
              </w:rPr>
              <w:t>Recommendations</w:t>
            </w:r>
            <w:r w:rsidR="005F7F7E" w:rsidRPr="008C29BB">
              <w:rPr>
                <w:rStyle w:val="Firstpagetablebold"/>
              </w:rPr>
              <w:t>:</w:t>
            </w:r>
            <w:r w:rsidR="005B51F2" w:rsidRPr="008C29BB">
              <w:rPr>
                <w:rStyle w:val="Firstpagetablebold"/>
              </w:rPr>
              <w:t xml:space="preserve"> </w:t>
            </w:r>
            <w:r w:rsidR="005F7F7E" w:rsidRPr="0064642D">
              <w:rPr>
                <w:rStyle w:val="Firstpagetablebold"/>
                <w:b w:val="0"/>
              </w:rPr>
              <w:t>That the City Executive Board resolves to:</w:t>
            </w:r>
          </w:p>
        </w:tc>
      </w:tr>
      <w:tr w:rsidR="0030208D" w:rsidRPr="008C29BB" w:rsidTr="00E948B1">
        <w:trPr>
          <w:trHeight w:val="283"/>
        </w:trPr>
        <w:tc>
          <w:tcPr>
            <w:tcW w:w="426" w:type="dxa"/>
            <w:tcBorders>
              <w:top w:val="single" w:sz="8" w:space="0" w:color="000000"/>
              <w:left w:val="single" w:sz="8" w:space="0" w:color="000000"/>
              <w:bottom w:val="nil"/>
              <w:right w:val="nil"/>
            </w:tcBorders>
          </w:tcPr>
          <w:p w:rsidR="00D27A37" w:rsidRPr="008C29BB" w:rsidRDefault="00D27A37" w:rsidP="004A6D2F"/>
          <w:p w:rsidR="00D27A37" w:rsidRPr="008C29BB" w:rsidRDefault="00D27A37" w:rsidP="004A6D2F"/>
        </w:tc>
        <w:tc>
          <w:tcPr>
            <w:tcW w:w="8419" w:type="dxa"/>
            <w:gridSpan w:val="2"/>
            <w:tcBorders>
              <w:top w:val="single" w:sz="8" w:space="0" w:color="000000"/>
              <w:left w:val="nil"/>
              <w:bottom w:val="nil"/>
              <w:right w:val="single" w:sz="8" w:space="0" w:color="000000"/>
            </w:tcBorders>
            <w:shd w:val="clear" w:color="auto" w:fill="auto"/>
          </w:tcPr>
          <w:p w:rsidR="00E948B1" w:rsidRDefault="00B86C94" w:rsidP="000A249E">
            <w:pPr>
              <w:pStyle w:val="ListParagraph"/>
              <w:numPr>
                <w:ilvl w:val="0"/>
                <w:numId w:val="57"/>
              </w:numPr>
              <w:tabs>
                <w:tab w:val="clear" w:pos="426"/>
              </w:tabs>
              <w:autoSpaceDE w:val="0"/>
              <w:autoSpaceDN w:val="0"/>
              <w:adjustRightInd w:val="0"/>
              <w:spacing w:after="0"/>
            </w:pPr>
            <w:r w:rsidRPr="0064642D">
              <w:rPr>
                <w:rFonts w:ascii="ArialMT" w:hAnsi="ArialMT" w:cs="ArialMT"/>
                <w:b/>
                <w:color w:val="auto"/>
              </w:rPr>
              <w:t>Agree</w:t>
            </w:r>
            <w:r w:rsidRPr="000A249E">
              <w:rPr>
                <w:rFonts w:ascii="ArialMT" w:hAnsi="ArialMT" w:cs="ArialMT"/>
                <w:color w:val="auto"/>
              </w:rPr>
              <w:t xml:space="preserve"> </w:t>
            </w:r>
            <w:r w:rsidR="00555762" w:rsidRPr="000A249E">
              <w:rPr>
                <w:rFonts w:ascii="ArialMT" w:hAnsi="ArialMT" w:cs="ArialMT"/>
                <w:color w:val="auto"/>
              </w:rPr>
              <w:t xml:space="preserve">in principle </w:t>
            </w:r>
            <w:r w:rsidR="0084797A" w:rsidRPr="000A249E">
              <w:rPr>
                <w:rFonts w:ascii="ArialMT" w:hAnsi="ArialMT" w:cs="ArialMT"/>
                <w:color w:val="auto"/>
              </w:rPr>
              <w:t>the</w:t>
            </w:r>
            <w:r w:rsidR="00E948B1" w:rsidRPr="000A249E">
              <w:rPr>
                <w:rFonts w:ascii="ArialMT" w:hAnsi="ArialMT" w:cs="ArialMT"/>
                <w:color w:val="auto"/>
              </w:rPr>
              <w:t xml:space="preserve"> set</w:t>
            </w:r>
            <w:r w:rsidR="0084797A" w:rsidRPr="000A249E">
              <w:rPr>
                <w:rFonts w:ascii="ArialMT" w:hAnsi="ArialMT" w:cs="ArialMT"/>
                <w:color w:val="auto"/>
              </w:rPr>
              <w:t>ting</w:t>
            </w:r>
            <w:r w:rsidRPr="000A249E">
              <w:rPr>
                <w:rFonts w:ascii="ArialMT" w:hAnsi="ArialMT" w:cs="ArialMT"/>
                <w:color w:val="auto"/>
              </w:rPr>
              <w:t xml:space="preserve"> up </w:t>
            </w:r>
            <w:r w:rsidR="009B2566">
              <w:rPr>
                <w:rFonts w:ascii="ArialMT" w:hAnsi="ArialMT" w:cs="ArialMT"/>
                <w:color w:val="auto"/>
              </w:rPr>
              <w:t xml:space="preserve">of </w:t>
            </w:r>
            <w:r w:rsidRPr="000A249E">
              <w:rPr>
                <w:rFonts w:ascii="ArialMT" w:hAnsi="ArialMT" w:cs="ArialMT"/>
                <w:color w:val="auto"/>
              </w:rPr>
              <w:t>a Local Authority wholly owned trading</w:t>
            </w:r>
            <w:r w:rsidR="00E948B1" w:rsidRPr="000A249E">
              <w:rPr>
                <w:rFonts w:ascii="ArialMT" w:hAnsi="ArialMT" w:cs="ArialMT"/>
                <w:color w:val="auto"/>
              </w:rPr>
              <w:t xml:space="preserve"> </w:t>
            </w:r>
            <w:r w:rsidR="00294020" w:rsidRPr="000A249E">
              <w:rPr>
                <w:rFonts w:ascii="ArialMT" w:hAnsi="ArialMT" w:cs="ArialMT"/>
                <w:color w:val="auto"/>
              </w:rPr>
              <w:t>group of companies</w:t>
            </w:r>
            <w:r w:rsidRPr="000A249E">
              <w:rPr>
                <w:rFonts w:ascii="ArialMT" w:hAnsi="ArialMT" w:cs="ArialMT"/>
                <w:color w:val="auto"/>
              </w:rPr>
              <w:t xml:space="preserve"> (‘the compan</w:t>
            </w:r>
            <w:r w:rsidR="00B70D91" w:rsidRPr="000A249E">
              <w:rPr>
                <w:rFonts w:ascii="ArialMT" w:hAnsi="ArialMT" w:cs="ArialMT"/>
                <w:color w:val="auto"/>
              </w:rPr>
              <w:t xml:space="preserve">y’) </w:t>
            </w:r>
            <w:r w:rsidR="00D41569" w:rsidRPr="000A249E">
              <w:rPr>
                <w:rFonts w:ascii="ArialMT" w:hAnsi="ArialMT" w:cs="ArialMT"/>
                <w:color w:val="auto"/>
              </w:rPr>
              <w:t>from April 2017</w:t>
            </w:r>
            <w:r w:rsidR="00191386" w:rsidRPr="008C29BB">
              <w:t>.</w:t>
            </w:r>
          </w:p>
          <w:p w:rsidR="00640196" w:rsidRPr="008C29BB" w:rsidRDefault="00640196" w:rsidP="000A249E">
            <w:pPr>
              <w:autoSpaceDE w:val="0"/>
              <w:autoSpaceDN w:val="0"/>
              <w:adjustRightInd w:val="0"/>
              <w:spacing w:after="0"/>
            </w:pPr>
          </w:p>
        </w:tc>
      </w:tr>
      <w:tr w:rsidR="0030208D" w:rsidRPr="008C29BB" w:rsidTr="00A46E98">
        <w:trPr>
          <w:trHeight w:val="283"/>
        </w:trPr>
        <w:tc>
          <w:tcPr>
            <w:tcW w:w="426" w:type="dxa"/>
            <w:tcBorders>
              <w:top w:val="nil"/>
              <w:left w:val="single" w:sz="8" w:space="0" w:color="000000"/>
              <w:bottom w:val="nil"/>
              <w:right w:val="nil"/>
            </w:tcBorders>
          </w:tcPr>
          <w:p w:rsidR="0030208D" w:rsidRPr="008C29BB" w:rsidRDefault="0030208D" w:rsidP="00FC4487"/>
        </w:tc>
        <w:tc>
          <w:tcPr>
            <w:tcW w:w="8419" w:type="dxa"/>
            <w:gridSpan w:val="2"/>
            <w:tcBorders>
              <w:top w:val="nil"/>
              <w:left w:val="nil"/>
              <w:bottom w:val="nil"/>
              <w:right w:val="single" w:sz="8" w:space="0" w:color="000000"/>
            </w:tcBorders>
            <w:shd w:val="clear" w:color="auto" w:fill="auto"/>
          </w:tcPr>
          <w:p w:rsidR="0030208D" w:rsidRPr="008C29BB" w:rsidRDefault="000A249E" w:rsidP="000A249E">
            <w:pPr>
              <w:autoSpaceDE w:val="0"/>
              <w:autoSpaceDN w:val="0"/>
              <w:adjustRightInd w:val="0"/>
              <w:spacing w:after="0"/>
              <w:ind w:left="362" w:hanging="322"/>
              <w:rPr>
                <w:rFonts w:ascii="ArialMT" w:hAnsi="ArialMT" w:cs="ArialMT"/>
                <w:color w:val="auto"/>
              </w:rPr>
            </w:pPr>
            <w:r>
              <w:rPr>
                <w:rFonts w:ascii="ArialMT" w:hAnsi="ArialMT" w:cs="ArialMT"/>
                <w:color w:val="auto"/>
              </w:rPr>
              <w:t xml:space="preserve">2. </w:t>
            </w:r>
            <w:r w:rsidR="00B86C94" w:rsidRPr="0064642D">
              <w:rPr>
                <w:rFonts w:ascii="ArialMT" w:hAnsi="ArialMT" w:cs="ArialMT"/>
                <w:b/>
                <w:color w:val="auto"/>
              </w:rPr>
              <w:t>Delegate</w:t>
            </w:r>
            <w:r w:rsidR="0064642D" w:rsidRPr="0064642D">
              <w:rPr>
                <w:rFonts w:ascii="ArialMT" w:hAnsi="ArialMT" w:cs="ArialMT"/>
                <w:b/>
                <w:color w:val="auto"/>
              </w:rPr>
              <w:t xml:space="preserve"> authority</w:t>
            </w:r>
            <w:r w:rsidR="00B86C94" w:rsidRPr="008C29BB">
              <w:rPr>
                <w:rFonts w:ascii="ArialMT" w:hAnsi="ArialMT" w:cs="ArialMT"/>
                <w:color w:val="auto"/>
              </w:rPr>
              <w:t xml:space="preserve"> to the </w:t>
            </w:r>
            <w:r w:rsidR="00260974">
              <w:rPr>
                <w:rFonts w:ascii="ArialMT" w:hAnsi="ArialMT" w:cs="ArialMT"/>
                <w:color w:val="auto"/>
              </w:rPr>
              <w:t>Chief Executive,</w:t>
            </w:r>
            <w:r w:rsidR="00B86C94" w:rsidRPr="008C29BB">
              <w:rPr>
                <w:rFonts w:ascii="ArialMT" w:hAnsi="ArialMT" w:cs="ArialMT"/>
                <w:color w:val="auto"/>
              </w:rPr>
              <w:t xml:space="preserve"> in</w:t>
            </w:r>
            <w:r>
              <w:rPr>
                <w:rFonts w:ascii="ArialMT" w:hAnsi="ArialMT" w:cs="ArialMT"/>
                <w:color w:val="auto"/>
              </w:rPr>
              <w:t xml:space="preserve"> </w:t>
            </w:r>
            <w:r w:rsidR="00B86C94" w:rsidRPr="008C29BB">
              <w:rPr>
                <w:rFonts w:ascii="ArialMT" w:hAnsi="ArialMT" w:cs="ArialMT"/>
                <w:color w:val="auto"/>
              </w:rPr>
              <w:t>consultation with th</w:t>
            </w:r>
            <w:r w:rsidR="00736088" w:rsidRPr="008C29BB">
              <w:rPr>
                <w:rFonts w:ascii="ArialMT" w:hAnsi="ArialMT" w:cs="ArialMT"/>
                <w:color w:val="auto"/>
              </w:rPr>
              <w:t xml:space="preserve">e Council’s statutory officers and </w:t>
            </w:r>
            <w:r w:rsidR="0064642D">
              <w:rPr>
                <w:rFonts w:ascii="ArialMT" w:hAnsi="ArialMT" w:cs="ArialMT"/>
                <w:color w:val="auto"/>
              </w:rPr>
              <w:t>Board member for</w:t>
            </w:r>
            <w:r w:rsidR="0064642D" w:rsidRPr="0064642D">
              <w:rPr>
                <w:rFonts w:ascii="ArialMT" w:hAnsi="ArialMT" w:cs="ArialMT"/>
                <w:color w:val="auto"/>
              </w:rPr>
              <w:t xml:space="preserve"> Finance, Asset Management and Public Health</w:t>
            </w:r>
            <w:r w:rsidR="009B2566">
              <w:rPr>
                <w:rFonts w:ascii="ArialMT" w:hAnsi="ArialMT" w:cs="ArialMT"/>
                <w:color w:val="auto"/>
              </w:rPr>
              <w:t>,</w:t>
            </w:r>
            <w:r w:rsidR="00B86C94" w:rsidRPr="008C29BB">
              <w:rPr>
                <w:rFonts w:ascii="ArialMT" w:hAnsi="ArialMT" w:cs="ArialMT"/>
                <w:color w:val="auto"/>
              </w:rPr>
              <w:t xml:space="preserve"> </w:t>
            </w:r>
            <w:r w:rsidR="00E14A79" w:rsidRPr="008C29BB">
              <w:rPr>
                <w:rFonts w:ascii="ArialMT" w:hAnsi="ArialMT" w:cs="ArialMT"/>
                <w:color w:val="auto"/>
              </w:rPr>
              <w:t xml:space="preserve">authority </w:t>
            </w:r>
            <w:r w:rsidR="00B86C94" w:rsidRPr="008C29BB">
              <w:rPr>
                <w:rFonts w:ascii="ArialMT" w:hAnsi="ArialMT" w:cs="ArialMT"/>
                <w:color w:val="auto"/>
              </w:rPr>
              <w:t>to set up an</w:t>
            </w:r>
            <w:r w:rsidR="00191386" w:rsidRPr="008C29BB">
              <w:rPr>
                <w:rFonts w:ascii="ArialMT" w:hAnsi="ArialMT" w:cs="ArialMT"/>
                <w:color w:val="auto"/>
              </w:rPr>
              <w:t xml:space="preserve"> </w:t>
            </w:r>
            <w:r w:rsidR="00B86C94" w:rsidRPr="008C29BB">
              <w:rPr>
                <w:rFonts w:ascii="ArialMT" w:hAnsi="ArialMT" w:cs="ArialMT"/>
                <w:color w:val="auto"/>
              </w:rPr>
              <w:t>appropriate company structure, including:</w:t>
            </w:r>
          </w:p>
          <w:p w:rsidR="00B86C94" w:rsidRPr="008C29BB" w:rsidRDefault="00B86C94" w:rsidP="000A249E">
            <w:pPr>
              <w:pStyle w:val="ListParagraph"/>
              <w:numPr>
                <w:ilvl w:val="0"/>
                <w:numId w:val="53"/>
              </w:numPr>
              <w:autoSpaceDE w:val="0"/>
              <w:autoSpaceDN w:val="0"/>
              <w:adjustRightInd w:val="0"/>
              <w:spacing w:before="120" w:after="0"/>
              <w:ind w:left="714" w:hanging="357"/>
              <w:rPr>
                <w:rFonts w:ascii="ArialMT" w:hAnsi="ArialMT" w:cs="ArialMT"/>
                <w:color w:val="auto"/>
              </w:rPr>
            </w:pPr>
            <w:r w:rsidRPr="008C29BB">
              <w:rPr>
                <w:rFonts w:ascii="ArialMT" w:hAnsi="ArialMT" w:cs="ArialMT"/>
                <w:color w:val="auto"/>
              </w:rPr>
              <w:t>Selection of the name of the company</w:t>
            </w:r>
            <w:r w:rsidR="001901D3">
              <w:rPr>
                <w:rFonts w:ascii="ArialMT" w:hAnsi="ArialMT" w:cs="ArialMT"/>
                <w:color w:val="auto"/>
              </w:rPr>
              <w:t>(s)</w:t>
            </w:r>
          </w:p>
          <w:p w:rsidR="00B86C94" w:rsidRPr="008C29BB" w:rsidRDefault="00B86C94" w:rsidP="00DC11A8">
            <w:pPr>
              <w:pStyle w:val="ListParagraph"/>
              <w:numPr>
                <w:ilvl w:val="0"/>
                <w:numId w:val="53"/>
              </w:numPr>
              <w:autoSpaceDE w:val="0"/>
              <w:autoSpaceDN w:val="0"/>
              <w:adjustRightInd w:val="0"/>
              <w:spacing w:after="0"/>
              <w:rPr>
                <w:rFonts w:ascii="ArialMT" w:hAnsi="ArialMT" w:cs="ArialMT"/>
                <w:color w:val="auto"/>
              </w:rPr>
            </w:pPr>
            <w:r w:rsidRPr="008C29BB">
              <w:rPr>
                <w:rFonts w:ascii="ArialMT" w:hAnsi="ArialMT" w:cs="ArialMT"/>
                <w:color w:val="auto"/>
              </w:rPr>
              <w:t>Approval of the type of company, the articles of the company and the size</w:t>
            </w:r>
            <w:r w:rsidR="000572AF" w:rsidRPr="008C29BB">
              <w:rPr>
                <w:rFonts w:ascii="ArialMT" w:hAnsi="ArialMT" w:cs="ArialMT"/>
                <w:color w:val="auto"/>
              </w:rPr>
              <w:t xml:space="preserve"> </w:t>
            </w:r>
            <w:r w:rsidRPr="008C29BB">
              <w:rPr>
                <w:rFonts w:ascii="ArialMT" w:hAnsi="ArialMT" w:cs="ArialMT"/>
                <w:color w:val="auto"/>
              </w:rPr>
              <w:t>and composition of its board</w:t>
            </w:r>
          </w:p>
          <w:p w:rsidR="00B86C94" w:rsidRPr="008C29BB" w:rsidRDefault="00FC4676" w:rsidP="00DC11A8">
            <w:pPr>
              <w:pStyle w:val="ListParagraph"/>
              <w:numPr>
                <w:ilvl w:val="0"/>
                <w:numId w:val="53"/>
              </w:numPr>
              <w:autoSpaceDE w:val="0"/>
              <w:autoSpaceDN w:val="0"/>
              <w:adjustRightInd w:val="0"/>
              <w:spacing w:after="0"/>
              <w:rPr>
                <w:rFonts w:ascii="ArialMT" w:hAnsi="ArialMT" w:cs="ArialMT"/>
                <w:color w:val="auto"/>
              </w:rPr>
            </w:pPr>
            <w:r>
              <w:rPr>
                <w:rFonts w:ascii="ArialMT" w:hAnsi="ArialMT" w:cs="ArialMT"/>
                <w:color w:val="auto"/>
              </w:rPr>
              <w:t>R</w:t>
            </w:r>
            <w:r w:rsidR="001224B2">
              <w:rPr>
                <w:rFonts w:ascii="ArialMT" w:hAnsi="ArialMT" w:cs="ArialMT"/>
                <w:color w:val="auto"/>
              </w:rPr>
              <w:t>ecommending</w:t>
            </w:r>
            <w:r>
              <w:rPr>
                <w:rFonts w:ascii="ArialMT" w:hAnsi="ArialMT" w:cs="ArialMT"/>
                <w:color w:val="auto"/>
              </w:rPr>
              <w:t xml:space="preserve"> to the Shareho</w:t>
            </w:r>
            <w:r w:rsidR="001224B2">
              <w:rPr>
                <w:rFonts w:ascii="ArialMT" w:hAnsi="ArialMT" w:cs="ArialMT"/>
                <w:color w:val="auto"/>
              </w:rPr>
              <w:t>lder Committee</w:t>
            </w:r>
            <w:r w:rsidR="0062450F">
              <w:rPr>
                <w:rFonts w:ascii="ArialMT" w:hAnsi="ArialMT" w:cs="ArialMT"/>
                <w:color w:val="auto"/>
              </w:rPr>
              <w:t xml:space="preserve"> </w:t>
            </w:r>
            <w:r>
              <w:rPr>
                <w:rFonts w:ascii="ArialMT" w:hAnsi="ArialMT" w:cs="ArialMT"/>
                <w:color w:val="auto"/>
              </w:rPr>
              <w:t>a</w:t>
            </w:r>
            <w:r w:rsidR="00B86C94" w:rsidRPr="008C29BB">
              <w:rPr>
                <w:rFonts w:ascii="ArialMT" w:hAnsi="ArialMT" w:cs="ArialMT"/>
                <w:color w:val="auto"/>
              </w:rPr>
              <w:t>ppointment</w:t>
            </w:r>
            <w:r w:rsidR="001224B2">
              <w:rPr>
                <w:rFonts w:ascii="ArialMT" w:hAnsi="ArialMT" w:cs="ArialMT"/>
                <w:color w:val="auto"/>
              </w:rPr>
              <w:t xml:space="preserve">s </w:t>
            </w:r>
            <w:r w:rsidR="0062450F">
              <w:rPr>
                <w:rFonts w:ascii="ArialMT" w:hAnsi="ArialMT" w:cs="ArialMT"/>
                <w:color w:val="auto"/>
              </w:rPr>
              <w:t xml:space="preserve">to the posts </w:t>
            </w:r>
            <w:r w:rsidR="00B86C94" w:rsidRPr="008C29BB">
              <w:rPr>
                <w:rFonts w:ascii="ArialMT" w:hAnsi="ArialMT" w:cs="ArialMT"/>
                <w:color w:val="auto"/>
              </w:rPr>
              <w:t>of</w:t>
            </w:r>
            <w:r w:rsidR="0062450F">
              <w:rPr>
                <w:rFonts w:ascii="ArialMT" w:hAnsi="ArialMT" w:cs="ArialMT"/>
                <w:color w:val="auto"/>
              </w:rPr>
              <w:t xml:space="preserve"> </w:t>
            </w:r>
            <w:r w:rsidR="00B86C94" w:rsidRPr="008C29BB">
              <w:rPr>
                <w:rFonts w:ascii="ArialMT" w:hAnsi="ArialMT" w:cs="ArialMT"/>
                <w:color w:val="auto"/>
              </w:rPr>
              <w:t>Managing Director, Directors</w:t>
            </w:r>
            <w:r w:rsidR="00FC6D19" w:rsidRPr="008C29BB">
              <w:rPr>
                <w:rFonts w:ascii="ArialMT" w:hAnsi="ArialMT" w:cs="ArialMT"/>
                <w:color w:val="auto"/>
              </w:rPr>
              <w:t>,</w:t>
            </w:r>
            <w:r w:rsidR="00B86C94" w:rsidRPr="008C29BB">
              <w:rPr>
                <w:rFonts w:ascii="ArialMT" w:hAnsi="ArialMT" w:cs="ArialMT"/>
                <w:color w:val="auto"/>
              </w:rPr>
              <w:t xml:space="preserve"> Company Secretary </w:t>
            </w:r>
            <w:r w:rsidR="00FC6D19" w:rsidRPr="008C29BB">
              <w:rPr>
                <w:rFonts w:ascii="ArialMT" w:hAnsi="ArialMT" w:cs="ArialMT"/>
                <w:color w:val="auto"/>
              </w:rPr>
              <w:t>and Non-Exec</w:t>
            </w:r>
            <w:r w:rsidR="00013274" w:rsidRPr="008C29BB">
              <w:rPr>
                <w:rFonts w:ascii="ArialMT" w:hAnsi="ArialMT" w:cs="ArialMT"/>
                <w:color w:val="auto"/>
              </w:rPr>
              <w:t>utive</w:t>
            </w:r>
            <w:r w:rsidR="00FC6D19" w:rsidRPr="008C29BB">
              <w:rPr>
                <w:rFonts w:ascii="ArialMT" w:hAnsi="ArialMT" w:cs="ArialMT"/>
                <w:color w:val="auto"/>
              </w:rPr>
              <w:t xml:space="preserve"> Directors </w:t>
            </w:r>
            <w:r w:rsidR="00B86C94" w:rsidRPr="008C29BB">
              <w:rPr>
                <w:rFonts w:ascii="ArialMT" w:hAnsi="ArialMT" w:cs="ArialMT"/>
                <w:color w:val="auto"/>
              </w:rPr>
              <w:t>of the company</w:t>
            </w:r>
          </w:p>
          <w:p w:rsidR="00FC25A9" w:rsidRPr="0064642D" w:rsidRDefault="006B4D16" w:rsidP="0064642D">
            <w:pPr>
              <w:pStyle w:val="ListParagraph"/>
              <w:numPr>
                <w:ilvl w:val="0"/>
                <w:numId w:val="53"/>
              </w:numPr>
              <w:autoSpaceDE w:val="0"/>
              <w:autoSpaceDN w:val="0"/>
              <w:adjustRightInd w:val="0"/>
              <w:spacing w:after="0"/>
              <w:rPr>
                <w:rFonts w:ascii="ArialMT" w:hAnsi="ArialMT" w:cs="ArialMT"/>
                <w:color w:val="auto"/>
              </w:rPr>
            </w:pPr>
            <w:r>
              <w:rPr>
                <w:rFonts w:ascii="ArialMT" w:hAnsi="ArialMT" w:cs="ArialMT"/>
                <w:color w:val="auto"/>
              </w:rPr>
              <w:t xml:space="preserve">Preparation </w:t>
            </w:r>
            <w:r w:rsidR="00B86C94" w:rsidRPr="008C29BB">
              <w:rPr>
                <w:rFonts w:ascii="ArialMT" w:hAnsi="ArialMT" w:cs="ArialMT"/>
                <w:color w:val="auto"/>
              </w:rPr>
              <w:t xml:space="preserve"> of a shareholder</w:t>
            </w:r>
            <w:r>
              <w:rPr>
                <w:rFonts w:ascii="ArialMT" w:hAnsi="ArialMT" w:cs="ArialMT"/>
                <w:color w:val="auto"/>
              </w:rPr>
              <w:t>’</w:t>
            </w:r>
            <w:r w:rsidR="00B86C94" w:rsidRPr="008C29BB">
              <w:rPr>
                <w:rFonts w:ascii="ArialMT" w:hAnsi="ArialMT" w:cs="ArialMT"/>
                <w:color w:val="auto"/>
              </w:rPr>
              <w:t>s agreement to be entered into between the</w:t>
            </w:r>
            <w:r>
              <w:rPr>
                <w:rFonts w:ascii="ArialMT" w:hAnsi="ArialMT" w:cs="ArialMT"/>
                <w:color w:val="auto"/>
              </w:rPr>
              <w:t xml:space="preserve"> company and the Council for considerati</w:t>
            </w:r>
            <w:r w:rsidR="00FC25A9">
              <w:rPr>
                <w:rFonts w:ascii="ArialMT" w:hAnsi="ArialMT" w:cs="ArialMT"/>
                <w:color w:val="auto"/>
              </w:rPr>
              <w:t>on by the Shareholder Committee</w:t>
            </w:r>
          </w:p>
          <w:p w:rsidR="00B86C94" w:rsidRPr="008C29BB" w:rsidRDefault="00B86C94" w:rsidP="00DC11A8">
            <w:pPr>
              <w:pStyle w:val="ListParagraph"/>
              <w:numPr>
                <w:ilvl w:val="0"/>
                <w:numId w:val="53"/>
              </w:numPr>
              <w:autoSpaceDE w:val="0"/>
              <w:autoSpaceDN w:val="0"/>
              <w:adjustRightInd w:val="0"/>
              <w:spacing w:after="0"/>
              <w:rPr>
                <w:rFonts w:ascii="ArialMT" w:hAnsi="ArialMT" w:cs="ArialMT"/>
                <w:color w:val="auto"/>
              </w:rPr>
            </w:pPr>
            <w:r w:rsidRPr="008C29BB">
              <w:rPr>
                <w:rFonts w:ascii="ArialMT" w:hAnsi="ArialMT" w:cs="ArialMT"/>
                <w:color w:val="auto"/>
              </w:rPr>
              <w:t>Ensuring that the company hold</w:t>
            </w:r>
            <w:r w:rsidR="001901D3">
              <w:rPr>
                <w:rFonts w:ascii="ArialMT" w:hAnsi="ArialMT" w:cs="ArialMT"/>
                <w:color w:val="auto"/>
              </w:rPr>
              <w:t>s</w:t>
            </w:r>
            <w:r w:rsidRPr="008C29BB">
              <w:rPr>
                <w:rFonts w:ascii="ArialMT" w:hAnsi="ArialMT" w:cs="ArialMT"/>
                <w:color w:val="auto"/>
              </w:rPr>
              <w:t xml:space="preserve"> appropriate insurances and/or benefit</w:t>
            </w:r>
            <w:r w:rsidR="000572AF" w:rsidRPr="008C29BB">
              <w:rPr>
                <w:rFonts w:ascii="ArialMT" w:hAnsi="ArialMT" w:cs="ArialMT"/>
                <w:color w:val="auto"/>
              </w:rPr>
              <w:t xml:space="preserve"> </w:t>
            </w:r>
            <w:r w:rsidRPr="008C29BB">
              <w:rPr>
                <w:rFonts w:ascii="ArialMT" w:hAnsi="ArialMT" w:cs="ArialMT"/>
                <w:color w:val="auto"/>
              </w:rPr>
              <w:t>from insurances that the Council holds</w:t>
            </w:r>
          </w:p>
          <w:p w:rsidR="000F119F" w:rsidRPr="008C29BB" w:rsidRDefault="000F119F" w:rsidP="007F660C">
            <w:pPr>
              <w:pStyle w:val="ListParagraph"/>
              <w:numPr>
                <w:ilvl w:val="0"/>
                <w:numId w:val="0"/>
              </w:numPr>
              <w:ind w:left="720"/>
            </w:pPr>
          </w:p>
        </w:tc>
      </w:tr>
      <w:tr w:rsidR="00232F5B" w:rsidRPr="008C29BB" w:rsidTr="00A46E98">
        <w:trPr>
          <w:trHeight w:val="283"/>
        </w:trPr>
        <w:tc>
          <w:tcPr>
            <w:tcW w:w="426" w:type="dxa"/>
            <w:tcBorders>
              <w:top w:val="nil"/>
              <w:left w:val="single" w:sz="8" w:space="0" w:color="000000"/>
              <w:bottom w:val="nil"/>
              <w:right w:val="nil"/>
            </w:tcBorders>
          </w:tcPr>
          <w:p w:rsidR="0030208D" w:rsidRPr="008C29BB" w:rsidRDefault="0030208D" w:rsidP="00FC4487"/>
        </w:tc>
        <w:tc>
          <w:tcPr>
            <w:tcW w:w="8419" w:type="dxa"/>
            <w:gridSpan w:val="2"/>
            <w:tcBorders>
              <w:top w:val="nil"/>
              <w:left w:val="nil"/>
              <w:bottom w:val="nil"/>
              <w:right w:val="single" w:sz="8" w:space="0" w:color="000000"/>
            </w:tcBorders>
            <w:shd w:val="clear" w:color="auto" w:fill="auto"/>
          </w:tcPr>
          <w:p w:rsidR="000A249E" w:rsidRDefault="000A249E" w:rsidP="000A249E">
            <w:pPr>
              <w:autoSpaceDE w:val="0"/>
              <w:autoSpaceDN w:val="0"/>
              <w:adjustRightInd w:val="0"/>
              <w:spacing w:after="0"/>
              <w:ind w:left="348" w:hanging="294"/>
            </w:pPr>
            <w:r>
              <w:t xml:space="preserve">3. </w:t>
            </w:r>
            <w:r w:rsidR="006F129C" w:rsidRPr="0064642D">
              <w:rPr>
                <w:b/>
              </w:rPr>
              <w:t>Agree</w:t>
            </w:r>
            <w:r w:rsidR="006F129C" w:rsidRPr="008C29BB">
              <w:t xml:space="preserve"> that new external</w:t>
            </w:r>
            <w:r w:rsidR="00EF4E35">
              <w:t>ly</w:t>
            </w:r>
            <w:r w:rsidR="006F129C" w:rsidRPr="008C29BB">
              <w:t xml:space="preserve"> traded work is managed and accounted for through the new company </w:t>
            </w:r>
            <w:r w:rsidR="00642F41">
              <w:t xml:space="preserve">once appropriate arrangements are in place </w:t>
            </w:r>
            <w:r w:rsidR="00642F41">
              <w:lastRenderedPageBreak/>
              <w:t xml:space="preserve">and it is </w:t>
            </w:r>
            <w:r w:rsidR="001901D3">
              <w:t>pr</w:t>
            </w:r>
            <w:r w:rsidR="00642F41">
              <w:t>actical to do so.</w:t>
            </w:r>
          </w:p>
          <w:p w:rsidR="000A249E" w:rsidRDefault="000A249E" w:rsidP="000A249E">
            <w:pPr>
              <w:autoSpaceDE w:val="0"/>
              <w:autoSpaceDN w:val="0"/>
              <w:adjustRightInd w:val="0"/>
              <w:spacing w:after="0"/>
            </w:pPr>
          </w:p>
          <w:p w:rsidR="006F129C" w:rsidRPr="008C29BB" w:rsidRDefault="000A249E" w:rsidP="000A249E">
            <w:pPr>
              <w:autoSpaceDE w:val="0"/>
              <w:autoSpaceDN w:val="0"/>
              <w:adjustRightInd w:val="0"/>
              <w:spacing w:after="0"/>
              <w:ind w:left="334" w:hanging="266"/>
            </w:pPr>
            <w:r>
              <w:t xml:space="preserve">4. </w:t>
            </w:r>
            <w:r w:rsidR="00FC4487" w:rsidRPr="0064642D">
              <w:rPr>
                <w:b/>
              </w:rPr>
              <w:t>App</w:t>
            </w:r>
            <w:r w:rsidR="006F129C" w:rsidRPr="0064642D">
              <w:rPr>
                <w:b/>
              </w:rPr>
              <w:t>rove</w:t>
            </w:r>
            <w:r w:rsidR="006F129C">
              <w:t xml:space="preserve"> </w:t>
            </w:r>
            <w:r w:rsidR="00642F41">
              <w:t xml:space="preserve">provision of </w:t>
            </w:r>
            <w:r w:rsidR="006F129C">
              <w:t>an initial</w:t>
            </w:r>
            <w:r w:rsidR="006F129C" w:rsidRPr="008C29BB">
              <w:t xml:space="preserve"> loan of £250k for working capital at state aid compliant interest rates</w:t>
            </w:r>
            <w:r w:rsidR="006F129C">
              <w:t>.</w:t>
            </w:r>
          </w:p>
          <w:p w:rsidR="006F129C" w:rsidRDefault="006F129C" w:rsidP="006F129C">
            <w:pPr>
              <w:autoSpaceDE w:val="0"/>
              <w:autoSpaceDN w:val="0"/>
              <w:adjustRightInd w:val="0"/>
              <w:spacing w:after="0"/>
            </w:pPr>
          </w:p>
          <w:p w:rsidR="0030208D" w:rsidRPr="0064642D" w:rsidRDefault="000A249E" w:rsidP="0064642D">
            <w:pPr>
              <w:autoSpaceDE w:val="0"/>
              <w:autoSpaceDN w:val="0"/>
              <w:adjustRightInd w:val="0"/>
              <w:spacing w:after="0"/>
              <w:ind w:left="362" w:hanging="308"/>
              <w:rPr>
                <w:rFonts w:ascii="ArialMT" w:hAnsi="ArialMT" w:cs="ArialMT"/>
                <w:color w:val="auto"/>
              </w:rPr>
            </w:pPr>
            <w:r>
              <w:t xml:space="preserve">5. </w:t>
            </w:r>
            <w:r w:rsidR="00191386" w:rsidRPr="0064642D">
              <w:rPr>
                <w:b/>
              </w:rPr>
              <w:t>Delegate authority</w:t>
            </w:r>
            <w:r w:rsidR="00191386" w:rsidRPr="008C29BB">
              <w:t xml:space="preserve"> to the </w:t>
            </w:r>
            <w:r w:rsidR="00260974">
              <w:t>Chief Executive,</w:t>
            </w:r>
            <w:r w:rsidR="00013274" w:rsidRPr="008C29BB">
              <w:t xml:space="preserve"> </w:t>
            </w:r>
            <w:r w:rsidR="00013274" w:rsidRPr="008C29BB">
              <w:rPr>
                <w:rFonts w:ascii="ArialMT" w:hAnsi="ArialMT" w:cs="ArialMT"/>
                <w:color w:val="auto"/>
              </w:rPr>
              <w:t>in</w:t>
            </w:r>
            <w:r w:rsidR="0064642D">
              <w:rPr>
                <w:rFonts w:ascii="ArialMT" w:hAnsi="ArialMT" w:cs="ArialMT"/>
                <w:color w:val="auto"/>
              </w:rPr>
              <w:t xml:space="preserve"> </w:t>
            </w:r>
            <w:r w:rsidR="00013274" w:rsidRPr="008C29BB">
              <w:rPr>
                <w:rFonts w:ascii="ArialMT" w:hAnsi="ArialMT" w:cs="ArialMT"/>
                <w:color w:val="auto"/>
              </w:rPr>
              <w:t xml:space="preserve">consultation with the Council’s statutory officers, </w:t>
            </w:r>
            <w:r w:rsidR="00191386" w:rsidRPr="008C29BB">
              <w:t xml:space="preserve">to </w:t>
            </w:r>
            <w:r w:rsidR="000C5F2D">
              <w:t xml:space="preserve">undertake </w:t>
            </w:r>
            <w:r w:rsidR="00646048" w:rsidRPr="008C29BB">
              <w:t>further work</w:t>
            </w:r>
            <w:r w:rsidR="007A4898" w:rsidRPr="008C29BB">
              <w:t xml:space="preserve"> and report back to </w:t>
            </w:r>
            <w:r w:rsidR="00013274" w:rsidRPr="008C29BB">
              <w:t>the City Executive Board</w:t>
            </w:r>
            <w:r w:rsidR="007A4898" w:rsidRPr="008C29BB">
              <w:t xml:space="preserve"> on</w:t>
            </w:r>
            <w:r w:rsidR="009B2566">
              <w:t xml:space="preserve"> matters including</w:t>
            </w:r>
            <w:r w:rsidR="00646048" w:rsidRPr="008C29BB">
              <w:t>:-</w:t>
            </w:r>
          </w:p>
          <w:p w:rsidR="00646048" w:rsidRPr="008C29BB" w:rsidRDefault="00646048" w:rsidP="000A249E">
            <w:pPr>
              <w:pStyle w:val="ListParagraph"/>
              <w:numPr>
                <w:ilvl w:val="0"/>
                <w:numId w:val="50"/>
              </w:numPr>
              <w:spacing w:after="0"/>
              <w:ind w:left="714" w:hanging="357"/>
            </w:pPr>
            <w:r w:rsidRPr="008C29BB">
              <w:t>Which services should be transferred or not and if so into which part of the structure principally having regard to the financial impact on the Council</w:t>
            </w:r>
            <w:r w:rsidR="004A15AA">
              <w:t>.</w:t>
            </w:r>
          </w:p>
          <w:p w:rsidR="00646048" w:rsidRPr="008C29BB" w:rsidRDefault="000572AF" w:rsidP="000A249E">
            <w:pPr>
              <w:pStyle w:val="ListParagraph"/>
              <w:numPr>
                <w:ilvl w:val="0"/>
                <w:numId w:val="50"/>
              </w:numPr>
              <w:spacing w:after="0"/>
              <w:ind w:left="714" w:hanging="357"/>
            </w:pPr>
            <w:r w:rsidRPr="008C29BB">
              <w:t xml:space="preserve">Which </w:t>
            </w:r>
            <w:r w:rsidR="00047B7A" w:rsidRPr="008C29BB">
              <w:t xml:space="preserve">if any </w:t>
            </w:r>
            <w:r w:rsidRPr="008C29BB">
              <w:t>staff should transfer from the Council to the Local Authority Trading Company</w:t>
            </w:r>
            <w:r w:rsidR="004A15AA">
              <w:t>.</w:t>
            </w:r>
          </w:p>
          <w:p w:rsidR="00FC4676" w:rsidRDefault="00812551" w:rsidP="00FC4676">
            <w:pPr>
              <w:pStyle w:val="ListParagraph"/>
              <w:numPr>
                <w:ilvl w:val="0"/>
                <w:numId w:val="50"/>
              </w:numPr>
              <w:spacing w:after="0"/>
              <w:ind w:left="714" w:hanging="357"/>
            </w:pPr>
            <w:r w:rsidRPr="008C29BB">
              <w:t>Client side arrangements</w:t>
            </w:r>
            <w:r w:rsidR="00EF4E35">
              <w:t xml:space="preserve"> as appropriate</w:t>
            </w:r>
            <w:r w:rsidR="004A15AA">
              <w:t>.</w:t>
            </w:r>
          </w:p>
          <w:p w:rsidR="00FC4676" w:rsidRDefault="00FC4676" w:rsidP="00D04FE4">
            <w:pPr>
              <w:pStyle w:val="ListParagraph"/>
              <w:numPr>
                <w:ilvl w:val="0"/>
                <w:numId w:val="0"/>
              </w:numPr>
              <w:spacing w:after="0"/>
              <w:ind w:left="714"/>
            </w:pPr>
          </w:p>
          <w:p w:rsidR="00FC4676" w:rsidRPr="008C29BB" w:rsidRDefault="00FC4676" w:rsidP="00D04FE4">
            <w:pPr>
              <w:spacing w:after="0"/>
            </w:pPr>
            <w:r>
              <w:t xml:space="preserve">6. </w:t>
            </w:r>
            <w:r w:rsidRPr="0064642D">
              <w:rPr>
                <w:b/>
              </w:rPr>
              <w:t>Note</w:t>
            </w:r>
            <w:r>
              <w:t xml:space="preserve"> the establishment of a Shareholder Committee (comprising the members of the City Executive Board) which will represent the Council as shareholder in the company.</w:t>
            </w:r>
          </w:p>
        </w:tc>
      </w:tr>
      <w:tr w:rsidR="00232F5B" w:rsidRPr="008C29BB" w:rsidTr="00A46E98">
        <w:trPr>
          <w:trHeight w:val="283"/>
        </w:trPr>
        <w:tc>
          <w:tcPr>
            <w:tcW w:w="426" w:type="dxa"/>
            <w:tcBorders>
              <w:top w:val="nil"/>
              <w:left w:val="single" w:sz="8" w:space="0" w:color="000000"/>
              <w:bottom w:val="single" w:sz="8" w:space="0" w:color="000000"/>
              <w:right w:val="nil"/>
            </w:tcBorders>
          </w:tcPr>
          <w:p w:rsidR="0030208D" w:rsidRPr="008C29BB" w:rsidRDefault="0030208D" w:rsidP="004A6D2F"/>
        </w:tc>
        <w:tc>
          <w:tcPr>
            <w:tcW w:w="8419" w:type="dxa"/>
            <w:gridSpan w:val="2"/>
            <w:tcBorders>
              <w:top w:val="nil"/>
              <w:left w:val="nil"/>
              <w:bottom w:val="single" w:sz="8" w:space="0" w:color="000000"/>
              <w:right w:val="single" w:sz="8" w:space="0" w:color="000000"/>
            </w:tcBorders>
            <w:shd w:val="clear" w:color="auto" w:fill="auto"/>
          </w:tcPr>
          <w:p w:rsidR="00294020" w:rsidRPr="008C29BB" w:rsidRDefault="00294020" w:rsidP="00247C29"/>
        </w:tc>
      </w:tr>
    </w:tbl>
    <w:p w:rsidR="00CE544A" w:rsidRPr="008C29BB"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8C29BB"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8C29BB" w:rsidRDefault="00966D42" w:rsidP="00263EA3">
            <w:pPr>
              <w:jc w:val="center"/>
            </w:pPr>
            <w:r w:rsidRPr="008C29BB">
              <w:rPr>
                <w:rStyle w:val="Firstpagetablebold"/>
              </w:rPr>
              <w:t>Appendices</w:t>
            </w:r>
          </w:p>
        </w:tc>
      </w:tr>
      <w:tr w:rsidR="00ED5860" w:rsidRPr="008C29BB" w:rsidTr="002D21D0">
        <w:tc>
          <w:tcPr>
            <w:tcW w:w="2438" w:type="dxa"/>
            <w:tcBorders>
              <w:top w:val="single" w:sz="8" w:space="0" w:color="000000"/>
              <w:left w:val="single" w:sz="8" w:space="0" w:color="000000"/>
              <w:bottom w:val="nil"/>
              <w:right w:val="nil"/>
            </w:tcBorders>
            <w:shd w:val="clear" w:color="auto" w:fill="auto"/>
          </w:tcPr>
          <w:p w:rsidR="00ED5860" w:rsidRPr="008C29BB" w:rsidRDefault="00ED5860" w:rsidP="004A6D2F">
            <w:r w:rsidRPr="008C29BB">
              <w:t>Appendix 1</w:t>
            </w:r>
          </w:p>
        </w:tc>
        <w:tc>
          <w:tcPr>
            <w:tcW w:w="6406" w:type="dxa"/>
            <w:tcBorders>
              <w:top w:val="single" w:sz="8" w:space="0" w:color="000000"/>
              <w:left w:val="nil"/>
              <w:bottom w:val="nil"/>
              <w:right w:val="single" w:sz="8" w:space="0" w:color="000000"/>
            </w:tcBorders>
          </w:tcPr>
          <w:p w:rsidR="00ED5860" w:rsidRPr="008C29BB" w:rsidRDefault="00903100" w:rsidP="00903100">
            <w:r w:rsidRPr="00903100">
              <w:t>Legal Analysis of Council trading - exempt under Sch12A(5) Information in respect of legal professional privilege,  Local Government Act 1972</w:t>
            </w:r>
          </w:p>
        </w:tc>
      </w:tr>
      <w:tr w:rsidR="00ED5860" w:rsidRPr="008C29BB" w:rsidTr="002D21D0">
        <w:tc>
          <w:tcPr>
            <w:tcW w:w="2438" w:type="dxa"/>
            <w:tcBorders>
              <w:top w:val="nil"/>
              <w:left w:val="single" w:sz="8" w:space="0" w:color="000000"/>
              <w:bottom w:val="single" w:sz="4" w:space="0" w:color="auto"/>
              <w:right w:val="nil"/>
            </w:tcBorders>
            <w:shd w:val="clear" w:color="auto" w:fill="auto"/>
          </w:tcPr>
          <w:p w:rsidR="00ED5860" w:rsidRPr="008C29BB" w:rsidRDefault="0030208D" w:rsidP="004A6D2F">
            <w:r w:rsidRPr="008C29BB">
              <w:t>Appendix 2</w:t>
            </w:r>
          </w:p>
          <w:p w:rsidR="00294020" w:rsidRPr="008C29BB" w:rsidRDefault="002D21D0" w:rsidP="004A6D2F">
            <w:r w:rsidRPr="008C29BB">
              <w:t>Appendix 3</w:t>
            </w:r>
          </w:p>
        </w:tc>
        <w:tc>
          <w:tcPr>
            <w:tcW w:w="6406" w:type="dxa"/>
            <w:tcBorders>
              <w:top w:val="nil"/>
              <w:left w:val="nil"/>
              <w:bottom w:val="single" w:sz="4" w:space="0" w:color="auto"/>
              <w:right w:val="single" w:sz="8" w:space="0" w:color="000000"/>
            </w:tcBorders>
          </w:tcPr>
          <w:p w:rsidR="00ED5860" w:rsidRPr="008C29BB" w:rsidRDefault="002D21D0" w:rsidP="004A6D2F">
            <w:r w:rsidRPr="008C29BB">
              <w:t>Risk Register</w:t>
            </w:r>
          </w:p>
          <w:p w:rsidR="002D21D0" w:rsidRPr="008C29BB" w:rsidRDefault="002D21D0" w:rsidP="004A6D2F">
            <w:r w:rsidRPr="008C29BB">
              <w:t>Equalities Impact Assessment</w:t>
            </w:r>
          </w:p>
        </w:tc>
      </w:tr>
    </w:tbl>
    <w:p w:rsidR="0040736F" w:rsidRPr="008C29BB" w:rsidRDefault="00F66DCA" w:rsidP="004A6D2F">
      <w:pPr>
        <w:pStyle w:val="Heading1"/>
      </w:pPr>
      <w:r w:rsidRPr="008C29BB">
        <w:t>Introduction and b</w:t>
      </w:r>
      <w:r w:rsidR="00151888" w:rsidRPr="008C29BB">
        <w:t>ackground</w:t>
      </w:r>
      <w:r w:rsidR="00404032" w:rsidRPr="008C29BB">
        <w:t xml:space="preserve"> </w:t>
      </w:r>
    </w:p>
    <w:p w:rsidR="00FF65AA" w:rsidRPr="008C29BB" w:rsidRDefault="00FF65AA" w:rsidP="00FF65AA">
      <w:pPr>
        <w:pStyle w:val="ListParagraph"/>
      </w:pPr>
      <w:r w:rsidRPr="008C29BB">
        <w:t xml:space="preserve">This report sets out the </w:t>
      </w:r>
      <w:r w:rsidR="000F119F" w:rsidRPr="008C29BB">
        <w:t>business case to establish a</w:t>
      </w:r>
      <w:r w:rsidRPr="008C29BB">
        <w:t xml:space="preserve"> Local Authority Trading </w:t>
      </w:r>
      <w:r w:rsidRPr="00C83788">
        <w:t xml:space="preserve">Company (LATC) </w:t>
      </w:r>
      <w:r w:rsidR="00294020" w:rsidRPr="00C83788">
        <w:t xml:space="preserve">under a group structure, </w:t>
      </w:r>
      <w:r w:rsidRPr="00C83788">
        <w:t>for the work currently undertaken by</w:t>
      </w:r>
      <w:r w:rsidRPr="008C29BB">
        <w:t xml:space="preserve"> Direct Services. </w:t>
      </w:r>
      <w:r w:rsidR="006B1964" w:rsidRPr="008C29BB">
        <w:t xml:space="preserve">It seeks approval </w:t>
      </w:r>
      <w:r w:rsidR="004A15AA">
        <w:t>to establish the company in the first instance, with further work</w:t>
      </w:r>
      <w:r w:rsidR="006B1964" w:rsidRPr="008C29BB">
        <w:t xml:space="preserve"> </w:t>
      </w:r>
      <w:r w:rsidR="00344397" w:rsidRPr="008C29BB">
        <w:t>to determine the most appropriate financial and operational arrangements</w:t>
      </w:r>
      <w:r w:rsidR="004A15AA">
        <w:t xml:space="preserve"> (to be reported back to CEB)</w:t>
      </w:r>
      <w:r w:rsidR="00344397" w:rsidRPr="008C29BB">
        <w:t>.</w:t>
      </w:r>
      <w:r w:rsidR="00C83788">
        <w:t xml:space="preserve"> </w:t>
      </w:r>
    </w:p>
    <w:p w:rsidR="00125D5D" w:rsidRPr="008C29BB" w:rsidRDefault="00125D5D" w:rsidP="00125D5D">
      <w:pPr>
        <w:pStyle w:val="ListParagraph"/>
      </w:pPr>
      <w:r w:rsidRPr="008C29BB">
        <w:t xml:space="preserve">A </w:t>
      </w:r>
      <w:r w:rsidR="00191386" w:rsidRPr="008C29BB">
        <w:t xml:space="preserve">LATC is an independent company in which all the shares are held by </w:t>
      </w:r>
      <w:r w:rsidRPr="008C29BB">
        <w:t>the sponsoring council. So whilst it has freedom to trade for profit in the market it receives its overall direction from the Council</w:t>
      </w:r>
      <w:r w:rsidR="00294020" w:rsidRPr="008C29BB">
        <w:t>.</w:t>
      </w:r>
    </w:p>
    <w:p w:rsidR="006D37B4" w:rsidRDefault="006D37B4" w:rsidP="006D37B4">
      <w:pPr>
        <w:pStyle w:val="ListParagraph"/>
      </w:pPr>
      <w:r>
        <w:t xml:space="preserve">The 2017-18 budget indicates that Council services are funded by Government Grant </w:t>
      </w:r>
      <w:r w:rsidR="009B2566">
        <w:t xml:space="preserve">of </w:t>
      </w:r>
      <w:r>
        <w:t>£1.5m, Business Rates </w:t>
      </w:r>
      <w:r w:rsidR="009B2566">
        <w:t xml:space="preserve">of </w:t>
      </w:r>
      <w:r>
        <w:t xml:space="preserve">£6.6m, grants and contributions of £3.7m, and income from fees and charges of £34.7m. £9m </w:t>
      </w:r>
      <w:r w:rsidR="0034740C">
        <w:t>of this income is derived from</w:t>
      </w:r>
      <w:r>
        <w:t xml:space="preserve"> trading services primarily provided by Oxford Direct Services.</w:t>
      </w:r>
    </w:p>
    <w:p w:rsidR="00DC11A8" w:rsidRPr="008C29BB" w:rsidRDefault="00DC11A8" w:rsidP="00DC11A8">
      <w:pPr>
        <w:pStyle w:val="ListParagraph"/>
      </w:pPr>
      <w:r w:rsidRPr="008C29BB">
        <w:t>In the face of falling Government grant the Council embarked on</w:t>
      </w:r>
      <w:r w:rsidR="008C29BB">
        <w:t xml:space="preserve"> a strategy of seeking to make</w:t>
      </w:r>
      <w:r w:rsidRPr="008C29BB">
        <w:t xml:space="preserve"> good this loss through the raising external income in order to</w:t>
      </w:r>
      <w:r w:rsidR="00EA5650">
        <w:t xml:space="preserve"> protect services and</w:t>
      </w:r>
      <w:r w:rsidRPr="008C29BB">
        <w:t xml:space="preserve"> balance the Medium Term Financial Plan</w:t>
      </w:r>
      <w:r w:rsidR="00D83A34">
        <w:t xml:space="preserve"> (MTFP)</w:t>
      </w:r>
      <w:r w:rsidRPr="008C29BB">
        <w:t>.</w:t>
      </w:r>
    </w:p>
    <w:p w:rsidR="00DC11A8" w:rsidRPr="008C29BB" w:rsidRDefault="00DC11A8" w:rsidP="00DC11A8">
      <w:pPr>
        <w:pStyle w:val="ListParagraph"/>
      </w:pPr>
      <w:r w:rsidRPr="008C29BB">
        <w:t>Since the adoption of the Trading Strategy in 2011</w:t>
      </w:r>
      <w:r w:rsidR="004A15AA">
        <w:t xml:space="preserve"> there has been continued</w:t>
      </w:r>
      <w:r w:rsidRPr="008C29BB">
        <w:t xml:space="preserve"> growth in this area.  </w:t>
      </w:r>
    </w:p>
    <w:p w:rsidR="00DC11A8" w:rsidRPr="008C29BB" w:rsidRDefault="00D83A34" w:rsidP="00DC11A8">
      <w:pPr>
        <w:pStyle w:val="ListParagraph"/>
      </w:pPr>
      <w:r>
        <w:lastRenderedPageBreak/>
        <w:t xml:space="preserve">The Medium Term Financial Plan </w:t>
      </w:r>
      <w:r w:rsidR="00DC11A8" w:rsidRPr="008C29BB">
        <w:t xml:space="preserve">agreed by CEB in February 2017 </w:t>
      </w:r>
      <w:r w:rsidR="00DC11A8" w:rsidRPr="006D37B4">
        <w:t xml:space="preserve">identifies </w:t>
      </w:r>
      <w:r w:rsidR="006D37B4">
        <w:t>an additional £2m</w:t>
      </w:r>
      <w:r w:rsidR="00DC11A8" w:rsidRPr="006D37B4">
        <w:t xml:space="preserve"> of income to be derived from trading services over the next</w:t>
      </w:r>
      <w:r w:rsidR="00DC11A8" w:rsidRPr="008C29BB">
        <w:t xml:space="preserve"> four years. If the Council is to continue to provide essential services to the public and mitigate the need for compulsory redundancies then achievement of this additional income is essential.</w:t>
      </w:r>
    </w:p>
    <w:p w:rsidR="000C6AF9" w:rsidRDefault="000C6AF9" w:rsidP="000572AF">
      <w:pPr>
        <w:pStyle w:val="ListParagraph"/>
      </w:pPr>
      <w:r w:rsidRPr="008C29BB">
        <w:t>Direct Services</w:t>
      </w:r>
      <w:r w:rsidR="000572AF" w:rsidRPr="008C29BB">
        <w:t xml:space="preserve"> undertakes a significant amoun</w:t>
      </w:r>
      <w:r w:rsidR="00DF572A" w:rsidRPr="008C29BB">
        <w:t>t of work</w:t>
      </w:r>
      <w:r w:rsidR="000572AF" w:rsidRPr="008C29BB">
        <w:t xml:space="preserve"> on behalf of the Council, </w:t>
      </w:r>
      <w:r w:rsidR="00EB472F" w:rsidRPr="008C29BB">
        <w:t>(</w:t>
      </w:r>
      <w:r w:rsidR="006D37B4">
        <w:t>£55m</w:t>
      </w:r>
      <w:r w:rsidR="000F119F" w:rsidRPr="008C29BB">
        <w:t xml:space="preserve"> annual turnover provided by</w:t>
      </w:r>
      <w:r w:rsidR="00DF572A" w:rsidRPr="008C29BB">
        <w:t xml:space="preserve"> </w:t>
      </w:r>
      <w:r w:rsidR="006779EB">
        <w:t>over 650</w:t>
      </w:r>
      <w:r w:rsidRPr="008C29BB">
        <w:t xml:space="preserve"> staff</w:t>
      </w:r>
      <w:r w:rsidR="00EB472F" w:rsidRPr="008C29BB">
        <w:t>)</w:t>
      </w:r>
      <w:r w:rsidRPr="008C29BB">
        <w:t>. Services include building, w</w:t>
      </w:r>
      <w:r w:rsidR="00294020" w:rsidRPr="008C29BB">
        <w:t>aste &amp; recycling, s</w:t>
      </w:r>
      <w:r w:rsidRPr="008C29BB">
        <w:t>treetscene, parks &amp; open spaces, highways &amp; engineering, motor transport, pest control, some estate</w:t>
      </w:r>
      <w:r w:rsidR="004A15AA">
        <w:t>s</w:t>
      </w:r>
      <w:r w:rsidRPr="008C29BB">
        <w:t xml:space="preserve"> management </w:t>
      </w:r>
      <w:r w:rsidR="004A15AA">
        <w:t xml:space="preserve">work </w:t>
      </w:r>
      <w:r w:rsidRPr="008C29BB">
        <w:t xml:space="preserve">and a range of </w:t>
      </w:r>
      <w:r w:rsidR="00D41569" w:rsidRPr="008C29BB">
        <w:t xml:space="preserve">operational </w:t>
      </w:r>
      <w:r w:rsidRPr="008C29BB">
        <w:t>support services.</w:t>
      </w:r>
      <w:r w:rsidR="000572AF" w:rsidRPr="008C29BB">
        <w:t xml:space="preserve"> Direct Services </w:t>
      </w:r>
      <w:r w:rsidR="00E948B1">
        <w:t xml:space="preserve">(operating as </w:t>
      </w:r>
      <w:r w:rsidR="00AF1D5B" w:rsidRPr="008C29BB">
        <w:t xml:space="preserve">Oxford Direct Services) </w:t>
      </w:r>
      <w:r w:rsidR="000572AF" w:rsidRPr="008C29BB">
        <w:t>have successfully traded using surplus capacity, to recover costs and make a contributio</w:t>
      </w:r>
      <w:r w:rsidR="00AF1D5B" w:rsidRPr="008C29BB">
        <w:t>n to overheads. E</w:t>
      </w:r>
      <w:r w:rsidR="006D37B4">
        <w:t>xternal trading turnover was £7m</w:t>
      </w:r>
      <w:r w:rsidR="000572AF" w:rsidRPr="008C29BB">
        <w:t xml:space="preserve"> in 2</w:t>
      </w:r>
      <w:r w:rsidR="006D37B4">
        <w:t>015/16 and is expected to be £8m</w:t>
      </w:r>
      <w:r w:rsidR="000572AF" w:rsidRPr="008C29BB">
        <w:t xml:space="preserve"> by the end of this </w:t>
      </w:r>
      <w:r w:rsidR="000F119F" w:rsidRPr="008C29BB">
        <w:t xml:space="preserve">financial </w:t>
      </w:r>
      <w:r w:rsidR="000572AF" w:rsidRPr="008C29BB">
        <w:t>year with further growth planned in future years.</w:t>
      </w:r>
    </w:p>
    <w:p w:rsidR="006D37B4" w:rsidRDefault="00D83A34" w:rsidP="00D83A34">
      <w:pPr>
        <w:pStyle w:val="ListParagraph"/>
      </w:pPr>
      <w:r>
        <w:t>Below is the 2017/18 Budgeted Gross Cost for each of the services.</w:t>
      </w:r>
    </w:p>
    <w:p w:rsidR="00D83A34" w:rsidRDefault="00D83A34" w:rsidP="00D83A34">
      <w:pPr>
        <w:pStyle w:val="ListParagraph"/>
        <w:numPr>
          <w:ilvl w:val="0"/>
          <w:numId w:val="0"/>
        </w:numPr>
        <w:ind w:left="426"/>
      </w:pPr>
    </w:p>
    <w:tbl>
      <w:tblPr>
        <w:tblW w:w="5416" w:type="dxa"/>
        <w:tblInd w:w="601" w:type="dxa"/>
        <w:tblCellMar>
          <w:left w:w="0" w:type="dxa"/>
          <w:right w:w="0" w:type="dxa"/>
        </w:tblCellMar>
        <w:tblLook w:val="04A0" w:firstRow="1" w:lastRow="0" w:firstColumn="1" w:lastColumn="0" w:noHBand="0" w:noVBand="1"/>
      </w:tblPr>
      <w:tblGrid>
        <w:gridCol w:w="3880"/>
        <w:gridCol w:w="1520"/>
        <w:gridCol w:w="16"/>
      </w:tblGrid>
      <w:tr w:rsidR="00D83A34" w:rsidTr="00D83A34">
        <w:trPr>
          <w:trHeight w:val="255"/>
        </w:trPr>
        <w:tc>
          <w:tcPr>
            <w:tcW w:w="3880" w:type="dxa"/>
            <w:vMerge w:val="restart"/>
            <w:tcBorders>
              <w:top w:val="single" w:sz="8" w:space="0" w:color="auto"/>
              <w:left w:val="single" w:sz="8" w:space="0" w:color="auto"/>
              <w:bottom w:val="nil"/>
              <w:right w:val="single" w:sz="8" w:space="0" w:color="auto"/>
            </w:tcBorders>
            <w:shd w:val="clear" w:color="auto" w:fill="D9D9D9"/>
            <w:tcMar>
              <w:top w:w="0" w:type="dxa"/>
              <w:left w:w="108" w:type="dxa"/>
              <w:bottom w:w="0" w:type="dxa"/>
              <w:right w:w="108" w:type="dxa"/>
            </w:tcMar>
            <w:vAlign w:val="center"/>
            <w:hideMark/>
          </w:tcPr>
          <w:p w:rsidR="00D83A34" w:rsidRDefault="00D83A34">
            <w:pPr>
              <w:jc w:val="center"/>
              <w:rPr>
                <w:rFonts w:eastAsiaTheme="minorHAnsi" w:cs="Arial"/>
                <w:b/>
                <w:bCs/>
                <w:sz w:val="20"/>
                <w:szCs w:val="20"/>
              </w:rPr>
            </w:pPr>
            <w:r>
              <w:rPr>
                <w:b/>
                <w:bCs/>
                <w:sz w:val="20"/>
                <w:szCs w:val="20"/>
              </w:rPr>
              <w:t xml:space="preserve">2017/18 Budgeted Gross Cost per service </w:t>
            </w:r>
          </w:p>
        </w:tc>
        <w:tc>
          <w:tcPr>
            <w:tcW w:w="1520" w:type="dxa"/>
            <w:vMerge w:val="restart"/>
            <w:tcBorders>
              <w:top w:val="single" w:sz="8" w:space="0" w:color="auto"/>
              <w:left w:val="nil"/>
              <w:bottom w:val="single" w:sz="8" w:space="0" w:color="000000"/>
              <w:right w:val="single" w:sz="8" w:space="0" w:color="auto"/>
            </w:tcBorders>
            <w:shd w:val="clear" w:color="auto" w:fill="D9D9D9"/>
            <w:noWrap/>
            <w:tcMar>
              <w:top w:w="0" w:type="dxa"/>
              <w:left w:w="108" w:type="dxa"/>
              <w:bottom w:w="0" w:type="dxa"/>
              <w:right w:w="108" w:type="dxa"/>
            </w:tcMar>
            <w:vAlign w:val="center"/>
            <w:hideMark/>
          </w:tcPr>
          <w:p w:rsidR="00D83A34" w:rsidRDefault="00D83A34">
            <w:pPr>
              <w:jc w:val="center"/>
              <w:rPr>
                <w:rFonts w:eastAsiaTheme="minorHAnsi" w:cs="Arial"/>
                <w:b/>
                <w:bCs/>
                <w:sz w:val="20"/>
                <w:szCs w:val="20"/>
              </w:rPr>
            </w:pPr>
            <w:r>
              <w:rPr>
                <w:b/>
                <w:bCs/>
                <w:sz w:val="20"/>
                <w:szCs w:val="20"/>
              </w:rPr>
              <w:t>£,000</w:t>
            </w:r>
          </w:p>
        </w:tc>
        <w:tc>
          <w:tcPr>
            <w:tcW w:w="16" w:type="dxa"/>
            <w:vAlign w:val="center"/>
            <w:hideMark/>
          </w:tcPr>
          <w:p w:rsidR="00D83A34" w:rsidRDefault="00D83A34">
            <w:pPr>
              <w:rPr>
                <w:rFonts w:ascii="Times New Roman" w:hAnsi="Times New Roman"/>
                <w:sz w:val="20"/>
                <w:szCs w:val="20"/>
              </w:rPr>
            </w:pPr>
          </w:p>
        </w:tc>
      </w:tr>
      <w:tr w:rsidR="00D83A34" w:rsidTr="00D83A34">
        <w:trPr>
          <w:trHeight w:val="270"/>
        </w:trPr>
        <w:tc>
          <w:tcPr>
            <w:tcW w:w="0" w:type="auto"/>
            <w:vMerge/>
            <w:tcBorders>
              <w:top w:val="single" w:sz="8" w:space="0" w:color="auto"/>
              <w:left w:val="single" w:sz="8" w:space="0" w:color="auto"/>
              <w:bottom w:val="nil"/>
              <w:right w:val="single" w:sz="8" w:space="0" w:color="auto"/>
            </w:tcBorders>
            <w:vAlign w:val="center"/>
            <w:hideMark/>
          </w:tcPr>
          <w:p w:rsidR="00D83A34" w:rsidRDefault="00D83A34">
            <w:pPr>
              <w:rPr>
                <w:rFonts w:eastAsiaTheme="minorHAnsi" w:cs="Arial"/>
                <w:b/>
                <w:bCs/>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rsidR="00D83A34" w:rsidRDefault="00D83A34">
            <w:pPr>
              <w:rPr>
                <w:rFonts w:eastAsiaTheme="minorHAnsi" w:cs="Arial"/>
                <w:b/>
                <w:bCs/>
                <w:sz w:val="20"/>
                <w:szCs w:val="20"/>
              </w:rPr>
            </w:pPr>
          </w:p>
        </w:tc>
        <w:tc>
          <w:tcPr>
            <w:tcW w:w="16" w:type="dxa"/>
            <w:vAlign w:val="center"/>
            <w:hideMark/>
          </w:tcPr>
          <w:p w:rsidR="00D83A34" w:rsidRDefault="00D83A34">
            <w:pPr>
              <w:rPr>
                <w:rFonts w:ascii="Times New Roman" w:hAnsi="Times New Roman"/>
                <w:sz w:val="20"/>
                <w:szCs w:val="20"/>
              </w:rPr>
            </w:pPr>
          </w:p>
        </w:tc>
      </w:tr>
      <w:tr w:rsidR="00D83A34" w:rsidTr="00D83A34">
        <w:trPr>
          <w:trHeight w:val="255"/>
        </w:trPr>
        <w:tc>
          <w:tcPr>
            <w:tcW w:w="3880" w:type="dxa"/>
            <w:tcBorders>
              <w:top w:val="single" w:sz="8" w:space="0" w:color="auto"/>
              <w:left w:val="single" w:sz="8" w:space="0" w:color="auto"/>
              <w:bottom w:val="nil"/>
              <w:right w:val="single" w:sz="8" w:space="0" w:color="auto"/>
            </w:tcBorders>
            <w:shd w:val="clear" w:color="auto" w:fill="FFFFFF"/>
            <w:noWrap/>
            <w:tcMar>
              <w:top w:w="0" w:type="dxa"/>
              <w:left w:w="108" w:type="dxa"/>
              <w:bottom w:w="0" w:type="dxa"/>
              <w:right w:w="108" w:type="dxa"/>
            </w:tcMar>
            <w:vAlign w:val="bottom"/>
            <w:hideMark/>
          </w:tcPr>
          <w:p w:rsidR="00D83A34" w:rsidRDefault="00D83A34">
            <w:pPr>
              <w:rPr>
                <w:rFonts w:eastAsiaTheme="minorHAnsi" w:cs="Arial"/>
                <w:sz w:val="20"/>
                <w:szCs w:val="20"/>
              </w:rPr>
            </w:pPr>
            <w:r>
              <w:rPr>
                <w:sz w:val="20"/>
                <w:szCs w:val="20"/>
              </w:rPr>
              <w:t>Building Services</w:t>
            </w:r>
          </w:p>
        </w:tc>
        <w:tc>
          <w:tcPr>
            <w:tcW w:w="1520" w:type="dxa"/>
            <w:tcBorders>
              <w:top w:val="nil"/>
              <w:left w:val="nil"/>
              <w:bottom w:val="nil"/>
              <w:right w:val="single" w:sz="8" w:space="0" w:color="auto"/>
            </w:tcBorders>
            <w:shd w:val="clear" w:color="auto" w:fill="FFFFFF"/>
            <w:noWrap/>
            <w:tcMar>
              <w:top w:w="0" w:type="dxa"/>
              <w:left w:w="108" w:type="dxa"/>
              <w:bottom w:w="0" w:type="dxa"/>
              <w:right w:w="108" w:type="dxa"/>
            </w:tcMar>
            <w:vAlign w:val="bottom"/>
            <w:hideMark/>
          </w:tcPr>
          <w:p w:rsidR="00D83A34" w:rsidRDefault="00D83A34">
            <w:pPr>
              <w:jc w:val="right"/>
              <w:rPr>
                <w:rFonts w:eastAsiaTheme="minorHAnsi" w:cs="Arial"/>
                <w:sz w:val="20"/>
                <w:szCs w:val="20"/>
              </w:rPr>
            </w:pPr>
            <w:r>
              <w:rPr>
                <w:sz w:val="20"/>
                <w:szCs w:val="20"/>
              </w:rPr>
              <w:t xml:space="preserve">16,805 </w:t>
            </w:r>
          </w:p>
        </w:tc>
        <w:tc>
          <w:tcPr>
            <w:tcW w:w="16" w:type="dxa"/>
            <w:vAlign w:val="center"/>
            <w:hideMark/>
          </w:tcPr>
          <w:p w:rsidR="00D83A34" w:rsidRDefault="00D83A34">
            <w:pPr>
              <w:rPr>
                <w:rFonts w:ascii="Times New Roman" w:hAnsi="Times New Roman"/>
                <w:sz w:val="20"/>
                <w:szCs w:val="20"/>
              </w:rPr>
            </w:pPr>
          </w:p>
        </w:tc>
      </w:tr>
      <w:tr w:rsidR="00D83A34" w:rsidTr="00D83A34">
        <w:trPr>
          <w:trHeight w:val="255"/>
        </w:trPr>
        <w:tc>
          <w:tcPr>
            <w:tcW w:w="3880" w:type="dxa"/>
            <w:tcBorders>
              <w:top w:val="nil"/>
              <w:left w:val="single" w:sz="8" w:space="0" w:color="auto"/>
              <w:bottom w:val="nil"/>
              <w:right w:val="single" w:sz="8" w:space="0" w:color="auto"/>
            </w:tcBorders>
            <w:shd w:val="clear" w:color="auto" w:fill="FFFFFF"/>
            <w:noWrap/>
            <w:tcMar>
              <w:top w:w="0" w:type="dxa"/>
              <w:left w:w="108" w:type="dxa"/>
              <w:bottom w:w="0" w:type="dxa"/>
              <w:right w:w="108" w:type="dxa"/>
            </w:tcMar>
            <w:vAlign w:val="bottom"/>
            <w:hideMark/>
          </w:tcPr>
          <w:p w:rsidR="00D83A34" w:rsidRDefault="00D83A34">
            <w:pPr>
              <w:rPr>
                <w:rFonts w:eastAsiaTheme="minorHAnsi" w:cs="Arial"/>
                <w:sz w:val="20"/>
                <w:szCs w:val="20"/>
              </w:rPr>
            </w:pPr>
            <w:r>
              <w:rPr>
                <w:sz w:val="20"/>
                <w:szCs w:val="20"/>
              </w:rPr>
              <w:t>Off-Street Parking</w:t>
            </w:r>
          </w:p>
        </w:tc>
        <w:tc>
          <w:tcPr>
            <w:tcW w:w="1520" w:type="dxa"/>
            <w:tcBorders>
              <w:top w:val="nil"/>
              <w:left w:val="nil"/>
              <w:bottom w:val="nil"/>
              <w:right w:val="single" w:sz="8" w:space="0" w:color="auto"/>
            </w:tcBorders>
            <w:shd w:val="clear" w:color="auto" w:fill="FFFFFF"/>
            <w:noWrap/>
            <w:tcMar>
              <w:top w:w="0" w:type="dxa"/>
              <w:left w:w="108" w:type="dxa"/>
              <w:bottom w:w="0" w:type="dxa"/>
              <w:right w:w="108" w:type="dxa"/>
            </w:tcMar>
            <w:vAlign w:val="bottom"/>
            <w:hideMark/>
          </w:tcPr>
          <w:p w:rsidR="00D83A34" w:rsidRDefault="00D83A34">
            <w:pPr>
              <w:jc w:val="right"/>
              <w:rPr>
                <w:rFonts w:eastAsiaTheme="minorHAnsi" w:cs="Arial"/>
                <w:sz w:val="20"/>
                <w:szCs w:val="20"/>
              </w:rPr>
            </w:pPr>
            <w:r>
              <w:rPr>
                <w:sz w:val="20"/>
                <w:szCs w:val="20"/>
              </w:rPr>
              <w:t xml:space="preserve">3,353 </w:t>
            </w:r>
          </w:p>
        </w:tc>
        <w:tc>
          <w:tcPr>
            <w:tcW w:w="16" w:type="dxa"/>
            <w:vAlign w:val="center"/>
            <w:hideMark/>
          </w:tcPr>
          <w:p w:rsidR="00D83A34" w:rsidRDefault="00D83A34">
            <w:pPr>
              <w:rPr>
                <w:rFonts w:ascii="Times New Roman" w:hAnsi="Times New Roman"/>
                <w:sz w:val="20"/>
                <w:szCs w:val="20"/>
              </w:rPr>
            </w:pPr>
          </w:p>
        </w:tc>
      </w:tr>
      <w:tr w:rsidR="00D83A34" w:rsidTr="00D83A34">
        <w:trPr>
          <w:trHeight w:val="255"/>
        </w:trPr>
        <w:tc>
          <w:tcPr>
            <w:tcW w:w="3880" w:type="dxa"/>
            <w:tcBorders>
              <w:top w:val="nil"/>
              <w:left w:val="single" w:sz="8" w:space="0" w:color="auto"/>
              <w:bottom w:val="nil"/>
              <w:right w:val="single" w:sz="8" w:space="0" w:color="auto"/>
            </w:tcBorders>
            <w:shd w:val="clear" w:color="auto" w:fill="FFFFFF"/>
            <w:noWrap/>
            <w:tcMar>
              <w:top w:w="0" w:type="dxa"/>
              <w:left w:w="108" w:type="dxa"/>
              <w:bottom w:w="0" w:type="dxa"/>
              <w:right w:w="108" w:type="dxa"/>
            </w:tcMar>
            <w:vAlign w:val="bottom"/>
            <w:hideMark/>
          </w:tcPr>
          <w:p w:rsidR="00D83A34" w:rsidRDefault="00D83A34">
            <w:pPr>
              <w:rPr>
                <w:rFonts w:eastAsiaTheme="minorHAnsi" w:cs="Arial"/>
                <w:sz w:val="20"/>
                <w:szCs w:val="20"/>
              </w:rPr>
            </w:pPr>
            <w:r>
              <w:rPr>
                <w:sz w:val="20"/>
                <w:szCs w:val="20"/>
              </w:rPr>
              <w:t>Waste and Recycling - Domestic</w:t>
            </w:r>
          </w:p>
        </w:tc>
        <w:tc>
          <w:tcPr>
            <w:tcW w:w="1520" w:type="dxa"/>
            <w:tcBorders>
              <w:top w:val="nil"/>
              <w:left w:val="nil"/>
              <w:bottom w:val="nil"/>
              <w:right w:val="single" w:sz="8" w:space="0" w:color="auto"/>
            </w:tcBorders>
            <w:shd w:val="clear" w:color="auto" w:fill="FFFFFF"/>
            <w:noWrap/>
            <w:tcMar>
              <w:top w:w="0" w:type="dxa"/>
              <w:left w:w="108" w:type="dxa"/>
              <w:bottom w:w="0" w:type="dxa"/>
              <w:right w:w="108" w:type="dxa"/>
            </w:tcMar>
            <w:vAlign w:val="bottom"/>
            <w:hideMark/>
          </w:tcPr>
          <w:p w:rsidR="00D83A34" w:rsidRDefault="00D83A34">
            <w:pPr>
              <w:jc w:val="right"/>
              <w:rPr>
                <w:rFonts w:eastAsiaTheme="minorHAnsi" w:cs="Arial"/>
                <w:sz w:val="20"/>
                <w:szCs w:val="20"/>
              </w:rPr>
            </w:pPr>
            <w:r>
              <w:rPr>
                <w:sz w:val="20"/>
                <w:szCs w:val="20"/>
              </w:rPr>
              <w:t xml:space="preserve">5,146 </w:t>
            </w:r>
          </w:p>
        </w:tc>
        <w:tc>
          <w:tcPr>
            <w:tcW w:w="16" w:type="dxa"/>
            <w:vAlign w:val="center"/>
            <w:hideMark/>
          </w:tcPr>
          <w:p w:rsidR="00D83A34" w:rsidRDefault="00D83A34">
            <w:pPr>
              <w:rPr>
                <w:rFonts w:ascii="Times New Roman" w:hAnsi="Times New Roman"/>
                <w:sz w:val="20"/>
                <w:szCs w:val="20"/>
              </w:rPr>
            </w:pPr>
          </w:p>
        </w:tc>
      </w:tr>
      <w:tr w:rsidR="00D83A34" w:rsidTr="00D83A34">
        <w:trPr>
          <w:trHeight w:val="255"/>
        </w:trPr>
        <w:tc>
          <w:tcPr>
            <w:tcW w:w="3880" w:type="dxa"/>
            <w:tcBorders>
              <w:top w:val="nil"/>
              <w:left w:val="single" w:sz="8" w:space="0" w:color="auto"/>
              <w:bottom w:val="nil"/>
              <w:right w:val="single" w:sz="8" w:space="0" w:color="auto"/>
            </w:tcBorders>
            <w:shd w:val="clear" w:color="auto" w:fill="FFFFFF"/>
            <w:noWrap/>
            <w:tcMar>
              <w:top w:w="0" w:type="dxa"/>
              <w:left w:w="108" w:type="dxa"/>
              <w:bottom w:w="0" w:type="dxa"/>
              <w:right w:w="108" w:type="dxa"/>
            </w:tcMar>
            <w:vAlign w:val="bottom"/>
            <w:hideMark/>
          </w:tcPr>
          <w:p w:rsidR="00D83A34" w:rsidRDefault="00D83A34">
            <w:pPr>
              <w:rPr>
                <w:rFonts w:eastAsiaTheme="minorHAnsi" w:cs="Arial"/>
                <w:sz w:val="20"/>
                <w:szCs w:val="20"/>
              </w:rPr>
            </w:pPr>
            <w:r>
              <w:rPr>
                <w:sz w:val="20"/>
                <w:szCs w:val="20"/>
              </w:rPr>
              <w:t>Waste and Recycling - Commercial</w:t>
            </w:r>
          </w:p>
        </w:tc>
        <w:tc>
          <w:tcPr>
            <w:tcW w:w="1520" w:type="dxa"/>
            <w:tcBorders>
              <w:top w:val="nil"/>
              <w:left w:val="nil"/>
              <w:bottom w:val="nil"/>
              <w:right w:val="single" w:sz="8" w:space="0" w:color="auto"/>
            </w:tcBorders>
            <w:shd w:val="clear" w:color="auto" w:fill="FFFFFF"/>
            <w:noWrap/>
            <w:tcMar>
              <w:top w:w="0" w:type="dxa"/>
              <w:left w:w="108" w:type="dxa"/>
              <w:bottom w:w="0" w:type="dxa"/>
              <w:right w:w="108" w:type="dxa"/>
            </w:tcMar>
            <w:vAlign w:val="bottom"/>
            <w:hideMark/>
          </w:tcPr>
          <w:p w:rsidR="00D83A34" w:rsidRDefault="00D83A34">
            <w:pPr>
              <w:jc w:val="right"/>
              <w:rPr>
                <w:rFonts w:eastAsiaTheme="minorHAnsi" w:cs="Arial"/>
                <w:sz w:val="20"/>
                <w:szCs w:val="20"/>
              </w:rPr>
            </w:pPr>
            <w:r>
              <w:rPr>
                <w:sz w:val="20"/>
                <w:szCs w:val="20"/>
              </w:rPr>
              <w:t xml:space="preserve">2,445 </w:t>
            </w:r>
          </w:p>
        </w:tc>
        <w:tc>
          <w:tcPr>
            <w:tcW w:w="16" w:type="dxa"/>
            <w:vAlign w:val="center"/>
            <w:hideMark/>
          </w:tcPr>
          <w:p w:rsidR="00D83A34" w:rsidRDefault="00D83A34">
            <w:pPr>
              <w:rPr>
                <w:rFonts w:ascii="Times New Roman" w:hAnsi="Times New Roman"/>
                <w:sz w:val="20"/>
                <w:szCs w:val="20"/>
              </w:rPr>
            </w:pPr>
          </w:p>
        </w:tc>
      </w:tr>
      <w:tr w:rsidR="00D83A34" w:rsidTr="00D83A34">
        <w:trPr>
          <w:trHeight w:val="255"/>
        </w:trPr>
        <w:tc>
          <w:tcPr>
            <w:tcW w:w="3880" w:type="dxa"/>
            <w:tcBorders>
              <w:top w:val="nil"/>
              <w:left w:val="single" w:sz="8" w:space="0" w:color="auto"/>
              <w:bottom w:val="nil"/>
              <w:right w:val="single" w:sz="8" w:space="0" w:color="auto"/>
            </w:tcBorders>
            <w:shd w:val="clear" w:color="auto" w:fill="FFFFFF"/>
            <w:noWrap/>
            <w:tcMar>
              <w:top w:w="0" w:type="dxa"/>
              <w:left w:w="108" w:type="dxa"/>
              <w:bottom w:w="0" w:type="dxa"/>
              <w:right w:w="108" w:type="dxa"/>
            </w:tcMar>
            <w:vAlign w:val="bottom"/>
            <w:hideMark/>
          </w:tcPr>
          <w:p w:rsidR="00D83A34" w:rsidRDefault="00D83A34">
            <w:pPr>
              <w:rPr>
                <w:rFonts w:eastAsiaTheme="minorHAnsi" w:cs="Arial"/>
                <w:sz w:val="20"/>
                <w:szCs w:val="20"/>
              </w:rPr>
            </w:pPr>
            <w:r>
              <w:rPr>
                <w:sz w:val="20"/>
                <w:szCs w:val="20"/>
              </w:rPr>
              <w:t>Engineering</w:t>
            </w:r>
          </w:p>
        </w:tc>
        <w:tc>
          <w:tcPr>
            <w:tcW w:w="1520" w:type="dxa"/>
            <w:tcBorders>
              <w:top w:val="nil"/>
              <w:left w:val="nil"/>
              <w:bottom w:val="nil"/>
              <w:right w:val="single" w:sz="8" w:space="0" w:color="auto"/>
            </w:tcBorders>
            <w:shd w:val="clear" w:color="auto" w:fill="FFFFFF"/>
            <w:noWrap/>
            <w:tcMar>
              <w:top w:w="0" w:type="dxa"/>
              <w:left w:w="108" w:type="dxa"/>
              <w:bottom w:w="0" w:type="dxa"/>
              <w:right w:w="108" w:type="dxa"/>
            </w:tcMar>
            <w:vAlign w:val="bottom"/>
            <w:hideMark/>
          </w:tcPr>
          <w:p w:rsidR="00D83A34" w:rsidRDefault="00D83A34">
            <w:pPr>
              <w:jc w:val="right"/>
              <w:rPr>
                <w:rFonts w:eastAsiaTheme="minorHAnsi" w:cs="Arial"/>
                <w:sz w:val="20"/>
                <w:szCs w:val="20"/>
              </w:rPr>
            </w:pPr>
            <w:r>
              <w:rPr>
                <w:sz w:val="20"/>
                <w:szCs w:val="20"/>
              </w:rPr>
              <w:t xml:space="preserve">4,504 </w:t>
            </w:r>
          </w:p>
        </w:tc>
        <w:tc>
          <w:tcPr>
            <w:tcW w:w="16" w:type="dxa"/>
            <w:vAlign w:val="center"/>
            <w:hideMark/>
          </w:tcPr>
          <w:p w:rsidR="00D83A34" w:rsidRDefault="00D83A34">
            <w:pPr>
              <w:rPr>
                <w:rFonts w:ascii="Times New Roman" w:hAnsi="Times New Roman"/>
                <w:sz w:val="20"/>
                <w:szCs w:val="20"/>
              </w:rPr>
            </w:pPr>
          </w:p>
        </w:tc>
      </w:tr>
      <w:tr w:rsidR="00D83A34" w:rsidTr="00D83A34">
        <w:trPr>
          <w:trHeight w:val="255"/>
        </w:trPr>
        <w:tc>
          <w:tcPr>
            <w:tcW w:w="3880" w:type="dxa"/>
            <w:tcBorders>
              <w:top w:val="nil"/>
              <w:left w:val="single" w:sz="8" w:space="0" w:color="auto"/>
              <w:bottom w:val="nil"/>
              <w:right w:val="single" w:sz="8" w:space="0" w:color="auto"/>
            </w:tcBorders>
            <w:shd w:val="clear" w:color="auto" w:fill="FFFFFF"/>
            <w:noWrap/>
            <w:tcMar>
              <w:top w:w="0" w:type="dxa"/>
              <w:left w:w="108" w:type="dxa"/>
              <w:bottom w:w="0" w:type="dxa"/>
              <w:right w:w="108" w:type="dxa"/>
            </w:tcMar>
            <w:vAlign w:val="bottom"/>
            <w:hideMark/>
          </w:tcPr>
          <w:p w:rsidR="00D83A34" w:rsidRDefault="00D83A34">
            <w:pPr>
              <w:rPr>
                <w:rFonts w:eastAsiaTheme="minorHAnsi" w:cs="Arial"/>
                <w:sz w:val="20"/>
                <w:szCs w:val="20"/>
              </w:rPr>
            </w:pPr>
            <w:r>
              <w:rPr>
                <w:sz w:val="20"/>
                <w:szCs w:val="20"/>
              </w:rPr>
              <w:t>Streetscene</w:t>
            </w:r>
          </w:p>
        </w:tc>
        <w:tc>
          <w:tcPr>
            <w:tcW w:w="1520" w:type="dxa"/>
            <w:tcBorders>
              <w:top w:val="nil"/>
              <w:left w:val="nil"/>
              <w:bottom w:val="nil"/>
              <w:right w:val="single" w:sz="8" w:space="0" w:color="auto"/>
            </w:tcBorders>
            <w:shd w:val="clear" w:color="auto" w:fill="FFFFFF"/>
            <w:noWrap/>
            <w:tcMar>
              <w:top w:w="0" w:type="dxa"/>
              <w:left w:w="108" w:type="dxa"/>
              <w:bottom w:w="0" w:type="dxa"/>
              <w:right w:w="108" w:type="dxa"/>
            </w:tcMar>
            <w:vAlign w:val="bottom"/>
            <w:hideMark/>
          </w:tcPr>
          <w:p w:rsidR="00D83A34" w:rsidRDefault="00D83A34">
            <w:pPr>
              <w:jc w:val="right"/>
              <w:rPr>
                <w:rFonts w:eastAsiaTheme="minorHAnsi" w:cs="Arial"/>
                <w:sz w:val="20"/>
                <w:szCs w:val="20"/>
              </w:rPr>
            </w:pPr>
            <w:r>
              <w:rPr>
                <w:sz w:val="20"/>
                <w:szCs w:val="20"/>
              </w:rPr>
              <w:t xml:space="preserve">5,273 </w:t>
            </w:r>
          </w:p>
        </w:tc>
        <w:tc>
          <w:tcPr>
            <w:tcW w:w="16" w:type="dxa"/>
            <w:vAlign w:val="center"/>
            <w:hideMark/>
          </w:tcPr>
          <w:p w:rsidR="00D83A34" w:rsidRDefault="00D83A34">
            <w:pPr>
              <w:rPr>
                <w:rFonts w:ascii="Times New Roman" w:hAnsi="Times New Roman"/>
                <w:sz w:val="20"/>
                <w:szCs w:val="20"/>
              </w:rPr>
            </w:pPr>
          </w:p>
        </w:tc>
      </w:tr>
      <w:tr w:rsidR="00D83A34" w:rsidTr="00D83A34">
        <w:trPr>
          <w:trHeight w:val="255"/>
        </w:trPr>
        <w:tc>
          <w:tcPr>
            <w:tcW w:w="3880" w:type="dxa"/>
            <w:tcBorders>
              <w:top w:val="nil"/>
              <w:left w:val="single" w:sz="8" w:space="0" w:color="auto"/>
              <w:bottom w:val="nil"/>
              <w:right w:val="single" w:sz="8" w:space="0" w:color="auto"/>
            </w:tcBorders>
            <w:shd w:val="clear" w:color="auto" w:fill="FFFFFF"/>
            <w:noWrap/>
            <w:tcMar>
              <w:top w:w="0" w:type="dxa"/>
              <w:left w:w="108" w:type="dxa"/>
              <w:bottom w:w="0" w:type="dxa"/>
              <w:right w:w="108" w:type="dxa"/>
            </w:tcMar>
            <w:vAlign w:val="bottom"/>
            <w:hideMark/>
          </w:tcPr>
          <w:p w:rsidR="00D83A34" w:rsidRDefault="00D83A34">
            <w:pPr>
              <w:rPr>
                <w:rFonts w:eastAsiaTheme="minorHAnsi" w:cs="Arial"/>
                <w:sz w:val="20"/>
                <w:szCs w:val="20"/>
              </w:rPr>
            </w:pPr>
            <w:r>
              <w:rPr>
                <w:sz w:val="20"/>
                <w:szCs w:val="20"/>
              </w:rPr>
              <w:t>Transport</w:t>
            </w:r>
          </w:p>
        </w:tc>
        <w:tc>
          <w:tcPr>
            <w:tcW w:w="1520" w:type="dxa"/>
            <w:tcBorders>
              <w:top w:val="nil"/>
              <w:left w:val="nil"/>
              <w:bottom w:val="nil"/>
              <w:right w:val="single" w:sz="8" w:space="0" w:color="auto"/>
            </w:tcBorders>
            <w:shd w:val="clear" w:color="auto" w:fill="FFFFFF"/>
            <w:noWrap/>
            <w:tcMar>
              <w:top w:w="0" w:type="dxa"/>
              <w:left w:w="108" w:type="dxa"/>
              <w:bottom w:w="0" w:type="dxa"/>
              <w:right w:w="108" w:type="dxa"/>
            </w:tcMar>
            <w:vAlign w:val="bottom"/>
            <w:hideMark/>
          </w:tcPr>
          <w:p w:rsidR="00D83A34" w:rsidRDefault="00D83A34">
            <w:pPr>
              <w:jc w:val="right"/>
              <w:rPr>
                <w:rFonts w:eastAsiaTheme="minorHAnsi" w:cs="Arial"/>
                <w:sz w:val="20"/>
                <w:szCs w:val="20"/>
              </w:rPr>
            </w:pPr>
            <w:r>
              <w:rPr>
                <w:sz w:val="20"/>
                <w:szCs w:val="20"/>
              </w:rPr>
              <w:t xml:space="preserve">3,488 </w:t>
            </w:r>
          </w:p>
        </w:tc>
        <w:tc>
          <w:tcPr>
            <w:tcW w:w="16" w:type="dxa"/>
            <w:vAlign w:val="center"/>
            <w:hideMark/>
          </w:tcPr>
          <w:p w:rsidR="00D83A34" w:rsidRDefault="00D83A34">
            <w:pPr>
              <w:rPr>
                <w:rFonts w:ascii="Times New Roman" w:hAnsi="Times New Roman"/>
                <w:sz w:val="20"/>
                <w:szCs w:val="20"/>
              </w:rPr>
            </w:pPr>
          </w:p>
        </w:tc>
      </w:tr>
      <w:tr w:rsidR="00D83A34" w:rsidTr="00D83A34">
        <w:trPr>
          <w:trHeight w:val="255"/>
        </w:trPr>
        <w:tc>
          <w:tcPr>
            <w:tcW w:w="3880" w:type="dxa"/>
            <w:tcBorders>
              <w:top w:val="nil"/>
              <w:left w:val="single" w:sz="8" w:space="0" w:color="auto"/>
              <w:bottom w:val="nil"/>
              <w:right w:val="single" w:sz="8" w:space="0" w:color="auto"/>
            </w:tcBorders>
            <w:shd w:val="clear" w:color="auto" w:fill="FFFFFF"/>
            <w:noWrap/>
            <w:tcMar>
              <w:top w:w="0" w:type="dxa"/>
              <w:left w:w="108" w:type="dxa"/>
              <w:bottom w:w="0" w:type="dxa"/>
              <w:right w:w="108" w:type="dxa"/>
            </w:tcMar>
            <w:vAlign w:val="bottom"/>
            <w:hideMark/>
          </w:tcPr>
          <w:p w:rsidR="00D83A34" w:rsidRDefault="00D83A34">
            <w:pPr>
              <w:rPr>
                <w:rFonts w:eastAsiaTheme="minorHAnsi" w:cs="Arial"/>
                <w:sz w:val="20"/>
                <w:szCs w:val="20"/>
              </w:rPr>
            </w:pPr>
            <w:r>
              <w:rPr>
                <w:sz w:val="20"/>
                <w:szCs w:val="20"/>
              </w:rPr>
              <w:t>Caretaking &amp; Miscellaneous</w:t>
            </w:r>
          </w:p>
        </w:tc>
        <w:tc>
          <w:tcPr>
            <w:tcW w:w="1520" w:type="dxa"/>
            <w:tcBorders>
              <w:top w:val="nil"/>
              <w:left w:val="nil"/>
              <w:bottom w:val="nil"/>
              <w:right w:val="single" w:sz="8" w:space="0" w:color="auto"/>
            </w:tcBorders>
            <w:shd w:val="clear" w:color="auto" w:fill="FFFFFF"/>
            <w:noWrap/>
            <w:tcMar>
              <w:top w:w="0" w:type="dxa"/>
              <w:left w:w="108" w:type="dxa"/>
              <w:bottom w:w="0" w:type="dxa"/>
              <w:right w:w="108" w:type="dxa"/>
            </w:tcMar>
            <w:vAlign w:val="bottom"/>
            <w:hideMark/>
          </w:tcPr>
          <w:p w:rsidR="00D83A34" w:rsidRDefault="00D83A34">
            <w:pPr>
              <w:jc w:val="right"/>
              <w:rPr>
                <w:rFonts w:eastAsiaTheme="minorHAnsi" w:cs="Arial"/>
                <w:sz w:val="20"/>
                <w:szCs w:val="20"/>
              </w:rPr>
            </w:pPr>
            <w:r>
              <w:rPr>
                <w:sz w:val="20"/>
                <w:szCs w:val="20"/>
              </w:rPr>
              <w:t xml:space="preserve">778 </w:t>
            </w:r>
          </w:p>
        </w:tc>
        <w:tc>
          <w:tcPr>
            <w:tcW w:w="16" w:type="dxa"/>
            <w:vAlign w:val="center"/>
            <w:hideMark/>
          </w:tcPr>
          <w:p w:rsidR="00D83A34" w:rsidRDefault="00D83A34">
            <w:pPr>
              <w:rPr>
                <w:rFonts w:ascii="Times New Roman" w:hAnsi="Times New Roman"/>
                <w:sz w:val="20"/>
                <w:szCs w:val="20"/>
              </w:rPr>
            </w:pPr>
          </w:p>
        </w:tc>
      </w:tr>
      <w:tr w:rsidR="00D83A34" w:rsidTr="00D83A34">
        <w:trPr>
          <w:trHeight w:val="255"/>
        </w:trPr>
        <w:tc>
          <w:tcPr>
            <w:tcW w:w="3880" w:type="dxa"/>
            <w:tcBorders>
              <w:top w:val="nil"/>
              <w:left w:val="single" w:sz="8" w:space="0" w:color="auto"/>
              <w:bottom w:val="nil"/>
              <w:right w:val="single" w:sz="8" w:space="0" w:color="auto"/>
            </w:tcBorders>
            <w:shd w:val="clear" w:color="auto" w:fill="FFFFFF"/>
            <w:noWrap/>
            <w:tcMar>
              <w:top w:w="0" w:type="dxa"/>
              <w:left w:w="108" w:type="dxa"/>
              <w:bottom w:w="0" w:type="dxa"/>
              <w:right w:w="108" w:type="dxa"/>
            </w:tcMar>
            <w:vAlign w:val="bottom"/>
            <w:hideMark/>
          </w:tcPr>
          <w:p w:rsidR="00D83A34" w:rsidRDefault="00D83A34">
            <w:pPr>
              <w:rPr>
                <w:rFonts w:eastAsiaTheme="minorHAnsi" w:cs="Arial"/>
                <w:sz w:val="20"/>
                <w:szCs w:val="20"/>
              </w:rPr>
            </w:pPr>
            <w:r>
              <w:rPr>
                <w:sz w:val="20"/>
                <w:szCs w:val="20"/>
              </w:rPr>
              <w:t>Pest Control &amp; Dog Warden</w:t>
            </w:r>
          </w:p>
        </w:tc>
        <w:tc>
          <w:tcPr>
            <w:tcW w:w="1520" w:type="dxa"/>
            <w:tcBorders>
              <w:top w:val="nil"/>
              <w:left w:val="nil"/>
              <w:bottom w:val="nil"/>
              <w:right w:val="single" w:sz="8" w:space="0" w:color="auto"/>
            </w:tcBorders>
            <w:shd w:val="clear" w:color="auto" w:fill="FFFFFF"/>
            <w:noWrap/>
            <w:tcMar>
              <w:top w:w="0" w:type="dxa"/>
              <w:left w:w="108" w:type="dxa"/>
              <w:bottom w:w="0" w:type="dxa"/>
              <w:right w:w="108" w:type="dxa"/>
            </w:tcMar>
            <w:vAlign w:val="bottom"/>
            <w:hideMark/>
          </w:tcPr>
          <w:p w:rsidR="00D83A34" w:rsidRDefault="00D83A34">
            <w:pPr>
              <w:jc w:val="right"/>
              <w:rPr>
                <w:rFonts w:eastAsiaTheme="minorHAnsi" w:cs="Arial"/>
                <w:sz w:val="20"/>
                <w:szCs w:val="20"/>
              </w:rPr>
            </w:pPr>
            <w:r>
              <w:rPr>
                <w:sz w:val="20"/>
                <w:szCs w:val="20"/>
              </w:rPr>
              <w:t xml:space="preserve">211 </w:t>
            </w:r>
          </w:p>
        </w:tc>
        <w:tc>
          <w:tcPr>
            <w:tcW w:w="16" w:type="dxa"/>
            <w:vAlign w:val="center"/>
            <w:hideMark/>
          </w:tcPr>
          <w:p w:rsidR="00D83A34" w:rsidRDefault="00D83A34">
            <w:pPr>
              <w:rPr>
                <w:rFonts w:ascii="Times New Roman" w:hAnsi="Times New Roman"/>
                <w:sz w:val="20"/>
                <w:szCs w:val="20"/>
              </w:rPr>
            </w:pPr>
          </w:p>
        </w:tc>
      </w:tr>
      <w:tr w:rsidR="00D83A34" w:rsidTr="00D83A34">
        <w:trPr>
          <w:trHeight w:val="270"/>
        </w:trPr>
        <w:tc>
          <w:tcPr>
            <w:tcW w:w="3880" w:type="dxa"/>
            <w:tcBorders>
              <w:top w:val="nil"/>
              <w:left w:val="single" w:sz="8" w:space="0" w:color="auto"/>
              <w:bottom w:val="nil"/>
              <w:right w:val="single" w:sz="8" w:space="0" w:color="auto"/>
            </w:tcBorders>
            <w:shd w:val="clear" w:color="auto" w:fill="FFFFFF"/>
            <w:noWrap/>
            <w:tcMar>
              <w:top w:w="0" w:type="dxa"/>
              <w:left w:w="108" w:type="dxa"/>
              <w:bottom w:w="0" w:type="dxa"/>
              <w:right w:w="108" w:type="dxa"/>
            </w:tcMar>
            <w:vAlign w:val="bottom"/>
            <w:hideMark/>
          </w:tcPr>
          <w:p w:rsidR="00D83A34" w:rsidRDefault="00D83A34">
            <w:pPr>
              <w:rPr>
                <w:rFonts w:eastAsiaTheme="minorHAnsi" w:cs="Arial"/>
                <w:sz w:val="20"/>
                <w:szCs w:val="20"/>
              </w:rPr>
            </w:pPr>
            <w:r>
              <w:rPr>
                <w:sz w:val="20"/>
                <w:szCs w:val="20"/>
              </w:rPr>
              <w:t>Parks</w:t>
            </w:r>
          </w:p>
        </w:tc>
        <w:tc>
          <w:tcPr>
            <w:tcW w:w="1520" w:type="dxa"/>
            <w:tcBorders>
              <w:top w:val="nil"/>
              <w:left w:val="nil"/>
              <w:bottom w:val="nil"/>
              <w:right w:val="single" w:sz="8" w:space="0" w:color="auto"/>
            </w:tcBorders>
            <w:shd w:val="clear" w:color="auto" w:fill="FFFFFF"/>
            <w:noWrap/>
            <w:tcMar>
              <w:top w:w="0" w:type="dxa"/>
              <w:left w:w="108" w:type="dxa"/>
              <w:bottom w:w="0" w:type="dxa"/>
              <w:right w:w="108" w:type="dxa"/>
            </w:tcMar>
            <w:vAlign w:val="bottom"/>
            <w:hideMark/>
          </w:tcPr>
          <w:p w:rsidR="00D83A34" w:rsidRDefault="00D83A34">
            <w:pPr>
              <w:jc w:val="right"/>
              <w:rPr>
                <w:rFonts w:eastAsiaTheme="minorHAnsi" w:cs="Arial"/>
                <w:sz w:val="20"/>
                <w:szCs w:val="20"/>
              </w:rPr>
            </w:pPr>
            <w:r>
              <w:rPr>
                <w:sz w:val="20"/>
                <w:szCs w:val="20"/>
              </w:rPr>
              <w:t xml:space="preserve">3,016 </w:t>
            </w:r>
          </w:p>
        </w:tc>
        <w:tc>
          <w:tcPr>
            <w:tcW w:w="16" w:type="dxa"/>
            <w:vAlign w:val="center"/>
            <w:hideMark/>
          </w:tcPr>
          <w:p w:rsidR="00D83A34" w:rsidRDefault="00D83A34">
            <w:pPr>
              <w:rPr>
                <w:rFonts w:ascii="Times New Roman" w:hAnsi="Times New Roman"/>
                <w:sz w:val="20"/>
                <w:szCs w:val="20"/>
              </w:rPr>
            </w:pPr>
          </w:p>
        </w:tc>
      </w:tr>
      <w:tr w:rsidR="00D83A34" w:rsidTr="00D83A34">
        <w:trPr>
          <w:trHeight w:val="270"/>
        </w:trPr>
        <w:tc>
          <w:tcPr>
            <w:tcW w:w="388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83A34" w:rsidRDefault="00D83A34">
            <w:pPr>
              <w:rPr>
                <w:rFonts w:eastAsiaTheme="minorHAnsi" w:cs="Arial"/>
                <w:sz w:val="20"/>
                <w:szCs w:val="20"/>
              </w:rPr>
            </w:pPr>
            <w:r>
              <w:rPr>
                <w:sz w:val="20"/>
                <w:szCs w:val="20"/>
              </w:rPr>
              <w:t>Local Overheads</w:t>
            </w:r>
          </w:p>
        </w:tc>
        <w:tc>
          <w:tcPr>
            <w:tcW w:w="1520" w:type="dxa"/>
            <w:tcBorders>
              <w:top w:val="nil"/>
              <w:left w:val="nil"/>
              <w:bottom w:val="nil"/>
              <w:right w:val="single" w:sz="8" w:space="0" w:color="auto"/>
            </w:tcBorders>
            <w:shd w:val="clear" w:color="auto" w:fill="FFFFFF"/>
            <w:noWrap/>
            <w:tcMar>
              <w:top w:w="0" w:type="dxa"/>
              <w:left w:w="108" w:type="dxa"/>
              <w:bottom w:w="0" w:type="dxa"/>
              <w:right w:w="108" w:type="dxa"/>
            </w:tcMar>
            <w:vAlign w:val="bottom"/>
            <w:hideMark/>
          </w:tcPr>
          <w:p w:rsidR="00D83A34" w:rsidRDefault="00D83A34">
            <w:pPr>
              <w:jc w:val="right"/>
              <w:rPr>
                <w:rFonts w:eastAsiaTheme="minorHAnsi" w:cs="Arial"/>
                <w:sz w:val="20"/>
                <w:szCs w:val="20"/>
              </w:rPr>
            </w:pPr>
            <w:r>
              <w:rPr>
                <w:sz w:val="20"/>
                <w:szCs w:val="20"/>
              </w:rPr>
              <w:t xml:space="preserve">3,381 </w:t>
            </w:r>
          </w:p>
        </w:tc>
        <w:tc>
          <w:tcPr>
            <w:tcW w:w="16" w:type="dxa"/>
            <w:vAlign w:val="center"/>
            <w:hideMark/>
          </w:tcPr>
          <w:p w:rsidR="00D83A34" w:rsidRDefault="00D83A34">
            <w:pPr>
              <w:rPr>
                <w:rFonts w:ascii="Times New Roman" w:hAnsi="Times New Roman"/>
                <w:sz w:val="20"/>
                <w:szCs w:val="20"/>
              </w:rPr>
            </w:pPr>
          </w:p>
        </w:tc>
      </w:tr>
      <w:tr w:rsidR="00D83A34" w:rsidTr="00D83A34">
        <w:trPr>
          <w:trHeight w:val="270"/>
        </w:trPr>
        <w:tc>
          <w:tcPr>
            <w:tcW w:w="3880"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D83A34" w:rsidRDefault="00D83A34">
            <w:pPr>
              <w:rPr>
                <w:rFonts w:eastAsiaTheme="minorHAnsi" w:cs="Arial"/>
                <w:sz w:val="20"/>
                <w:szCs w:val="20"/>
              </w:rPr>
            </w:pPr>
            <w:r>
              <w:rPr>
                <w:sz w:val="20"/>
                <w:szCs w:val="20"/>
              </w:rPr>
              <w:t>Total</w:t>
            </w:r>
          </w:p>
        </w:tc>
        <w:tc>
          <w:tcPr>
            <w:tcW w:w="1520"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D83A34" w:rsidRDefault="00D83A34">
            <w:pPr>
              <w:jc w:val="right"/>
              <w:rPr>
                <w:rFonts w:eastAsiaTheme="minorHAnsi" w:cs="Arial"/>
                <w:sz w:val="20"/>
                <w:szCs w:val="20"/>
              </w:rPr>
            </w:pPr>
            <w:r>
              <w:rPr>
                <w:sz w:val="20"/>
                <w:szCs w:val="20"/>
              </w:rPr>
              <w:t xml:space="preserve">48,400 </w:t>
            </w:r>
          </w:p>
        </w:tc>
        <w:tc>
          <w:tcPr>
            <w:tcW w:w="16" w:type="dxa"/>
            <w:vAlign w:val="center"/>
            <w:hideMark/>
          </w:tcPr>
          <w:p w:rsidR="00D83A34" w:rsidRDefault="00D83A34">
            <w:pPr>
              <w:rPr>
                <w:rFonts w:ascii="Times New Roman" w:hAnsi="Times New Roman"/>
                <w:sz w:val="20"/>
                <w:szCs w:val="20"/>
              </w:rPr>
            </w:pPr>
          </w:p>
        </w:tc>
      </w:tr>
    </w:tbl>
    <w:p w:rsidR="006D37B4" w:rsidRPr="008C29BB" w:rsidRDefault="006D37B4" w:rsidP="006D37B4">
      <w:pPr>
        <w:pStyle w:val="ListParagraph"/>
        <w:numPr>
          <w:ilvl w:val="0"/>
          <w:numId w:val="0"/>
        </w:numPr>
        <w:ind w:left="426"/>
      </w:pPr>
    </w:p>
    <w:p w:rsidR="00EA5FB4" w:rsidRPr="008C29BB" w:rsidRDefault="00464B6B" w:rsidP="00EA5FB4">
      <w:pPr>
        <w:pStyle w:val="ListParagraph"/>
      </w:pPr>
      <w:r w:rsidRPr="008C29BB">
        <w:t xml:space="preserve">To </w:t>
      </w:r>
      <w:r w:rsidR="00D46662" w:rsidRPr="008C29BB">
        <w:t xml:space="preserve">facilitate delivery of the Council’s trading ambition and </w:t>
      </w:r>
      <w:r w:rsidR="009B2566">
        <w:t>MTFP</w:t>
      </w:r>
      <w:r w:rsidR="00D46662" w:rsidRPr="008C29BB">
        <w:t xml:space="preserve"> </w:t>
      </w:r>
      <w:r w:rsidR="00D01C70" w:rsidRPr="008C29BB">
        <w:t xml:space="preserve">going forward </w:t>
      </w:r>
      <w:r w:rsidR="00A2175E" w:rsidRPr="008C29BB">
        <w:t xml:space="preserve">and </w:t>
      </w:r>
      <w:r w:rsidR="00E948B1">
        <w:t>to allow the Council to expand these activities in compliance with the regulatory regime,</w:t>
      </w:r>
      <w:r w:rsidR="00A2175E" w:rsidRPr="008C29BB">
        <w:t xml:space="preserve"> </w:t>
      </w:r>
      <w:r w:rsidR="00DD46A6" w:rsidRPr="008C29BB">
        <w:t>w</w:t>
      </w:r>
      <w:r w:rsidR="00EA5FB4" w:rsidRPr="008C29BB">
        <w:t xml:space="preserve">e </w:t>
      </w:r>
      <w:r w:rsidR="00B45B52" w:rsidRPr="008C29BB">
        <w:t xml:space="preserve">have </w:t>
      </w:r>
      <w:r w:rsidR="00EA5FB4" w:rsidRPr="008C29BB">
        <w:t>engaged e</w:t>
      </w:r>
      <w:r w:rsidR="00294020" w:rsidRPr="008C29BB">
        <w:t>xpert legal and financial advisors</w:t>
      </w:r>
      <w:r w:rsidR="0013213A" w:rsidRPr="008C29BB">
        <w:t xml:space="preserve"> to </w:t>
      </w:r>
      <w:r w:rsidR="00DC11A8" w:rsidRPr="008C29BB">
        <w:t>advise on</w:t>
      </w:r>
      <w:r w:rsidR="00EA5FB4" w:rsidRPr="008C29BB">
        <w:t xml:space="preserve"> </w:t>
      </w:r>
      <w:r w:rsidR="00B45B52" w:rsidRPr="008C29BB">
        <w:t>t</w:t>
      </w:r>
      <w:r w:rsidR="00896F78" w:rsidRPr="008C29BB">
        <w:t>he pros and cons of various options</w:t>
      </w:r>
      <w:r w:rsidR="00DC11A8" w:rsidRPr="008C29BB">
        <w:t>.</w:t>
      </w:r>
    </w:p>
    <w:p w:rsidR="00861896" w:rsidRPr="008C29BB" w:rsidRDefault="00125D5D" w:rsidP="00421D44">
      <w:pPr>
        <w:pStyle w:val="ListParagraph"/>
      </w:pPr>
      <w:r w:rsidRPr="008C29BB">
        <w:t>T</w:t>
      </w:r>
      <w:r w:rsidR="00421D44" w:rsidRPr="008C29BB">
        <w:t>his report sets</w:t>
      </w:r>
      <w:r w:rsidR="009F36FB" w:rsidRPr="008C29BB">
        <w:t xml:space="preserve"> </w:t>
      </w:r>
      <w:r w:rsidR="00DD46A6" w:rsidRPr="008C29BB">
        <w:t>out</w:t>
      </w:r>
      <w:r w:rsidRPr="008C29BB">
        <w:t xml:space="preserve"> the model that we are </w:t>
      </w:r>
      <w:r w:rsidR="00DD46A6" w:rsidRPr="008C29BB">
        <w:t>recommending</w:t>
      </w:r>
      <w:r w:rsidRPr="008C29BB">
        <w:t xml:space="preserve"> for future operations using</w:t>
      </w:r>
      <w:r w:rsidR="00861896" w:rsidRPr="008C29BB">
        <w:t xml:space="preserve"> the ‘5 case model’ </w:t>
      </w:r>
      <w:r w:rsidRPr="008C29BB">
        <w:t>(</w:t>
      </w:r>
      <w:r w:rsidR="00861896" w:rsidRPr="008C29BB">
        <w:t xml:space="preserve">as recommended by government when </w:t>
      </w:r>
      <w:r w:rsidR="008137F7" w:rsidRPr="008C29BB">
        <w:t>developing business cases</w:t>
      </w:r>
      <w:r w:rsidRPr="008C29BB">
        <w:t>), the</w:t>
      </w:r>
      <w:r w:rsidR="00861896" w:rsidRPr="008C29BB">
        <w:t>se being:</w:t>
      </w:r>
    </w:p>
    <w:p w:rsidR="00861896" w:rsidRPr="008C29BB" w:rsidRDefault="00861896" w:rsidP="00861896">
      <w:pPr>
        <w:pStyle w:val="ListParagraph"/>
        <w:numPr>
          <w:ilvl w:val="0"/>
          <w:numId w:val="35"/>
        </w:numPr>
      </w:pPr>
      <w:r w:rsidRPr="008C29BB">
        <w:t>Strategic – the case for change</w:t>
      </w:r>
    </w:p>
    <w:p w:rsidR="00861896" w:rsidRPr="008C29BB" w:rsidRDefault="00861896" w:rsidP="00861896">
      <w:pPr>
        <w:pStyle w:val="ListParagraph"/>
        <w:numPr>
          <w:ilvl w:val="0"/>
          <w:numId w:val="35"/>
        </w:numPr>
      </w:pPr>
      <w:r w:rsidRPr="008C29BB">
        <w:t xml:space="preserve">Economic </w:t>
      </w:r>
      <w:r w:rsidR="0053287A" w:rsidRPr="008C29BB">
        <w:t>–</w:t>
      </w:r>
      <w:r w:rsidRPr="008C29BB">
        <w:t xml:space="preserve"> </w:t>
      </w:r>
      <w:r w:rsidR="0053287A" w:rsidRPr="008C29BB">
        <w:t>the options analysed and preferred option presented</w:t>
      </w:r>
    </w:p>
    <w:p w:rsidR="0053287A" w:rsidRPr="008C29BB" w:rsidRDefault="0053287A" w:rsidP="00861896">
      <w:pPr>
        <w:pStyle w:val="ListParagraph"/>
        <w:numPr>
          <w:ilvl w:val="0"/>
          <w:numId w:val="35"/>
        </w:numPr>
      </w:pPr>
      <w:r w:rsidRPr="008C29BB">
        <w:t>Commercial – how we will grow the business</w:t>
      </w:r>
    </w:p>
    <w:p w:rsidR="0053287A" w:rsidRPr="008C29BB" w:rsidRDefault="0053287A" w:rsidP="00861896">
      <w:pPr>
        <w:pStyle w:val="ListParagraph"/>
        <w:numPr>
          <w:ilvl w:val="0"/>
          <w:numId w:val="35"/>
        </w:numPr>
      </w:pPr>
      <w:r w:rsidRPr="008C29BB">
        <w:lastRenderedPageBreak/>
        <w:t>Financial – funding affordability, income, expenditure</w:t>
      </w:r>
      <w:r w:rsidR="002D21D0" w:rsidRPr="008C29BB">
        <w:t xml:space="preserve"> (summarised in the ‘financial implications’ section)</w:t>
      </w:r>
    </w:p>
    <w:p w:rsidR="0053287A" w:rsidRPr="008C29BB" w:rsidRDefault="0053287A" w:rsidP="00E87F7A">
      <w:pPr>
        <w:pStyle w:val="ListParagraph"/>
        <w:numPr>
          <w:ilvl w:val="0"/>
          <w:numId w:val="35"/>
        </w:numPr>
      </w:pPr>
      <w:r w:rsidRPr="008C29BB">
        <w:t xml:space="preserve">Management – including stakeholders, timelines, milestones, etc.  </w:t>
      </w:r>
    </w:p>
    <w:p w:rsidR="00D83A34" w:rsidRDefault="00D83A34" w:rsidP="00931B77">
      <w:pPr>
        <w:ind w:left="426" w:hanging="426"/>
        <w:rPr>
          <w:b/>
        </w:rPr>
      </w:pPr>
    </w:p>
    <w:p w:rsidR="007057C7" w:rsidRPr="008C29BB" w:rsidRDefault="00AF65AF" w:rsidP="00931B77">
      <w:pPr>
        <w:ind w:left="426" w:hanging="426"/>
        <w:rPr>
          <w:b/>
        </w:rPr>
      </w:pPr>
      <w:r w:rsidRPr="008C29BB">
        <w:rPr>
          <w:b/>
        </w:rPr>
        <w:t>Strategic Perspective</w:t>
      </w:r>
    </w:p>
    <w:p w:rsidR="004A15AA" w:rsidRDefault="00EE4636" w:rsidP="006D37B4">
      <w:pPr>
        <w:pStyle w:val="ListParagraph"/>
      </w:pPr>
      <w:r w:rsidRPr="008C29BB">
        <w:t>O</w:t>
      </w:r>
      <w:r w:rsidR="00F92C35" w:rsidRPr="008C29BB">
        <w:t xml:space="preserve">ur </w:t>
      </w:r>
      <w:r w:rsidRPr="008C29BB">
        <w:t xml:space="preserve">current </w:t>
      </w:r>
      <w:r w:rsidR="00F92C35" w:rsidRPr="008C29BB">
        <w:t xml:space="preserve">model has served us well, </w:t>
      </w:r>
      <w:r w:rsidRPr="008C29BB">
        <w:t>delivering</w:t>
      </w:r>
      <w:r w:rsidR="00F92C35" w:rsidRPr="008C29BB">
        <w:t xml:space="preserve"> a balanced budget </w:t>
      </w:r>
      <w:r w:rsidR="008E5700" w:rsidRPr="008C29BB">
        <w:t>through efficiencies and income generation</w:t>
      </w:r>
      <w:r w:rsidR="00F92C35" w:rsidRPr="008C29BB">
        <w:t xml:space="preserve">. But new models are needed for changing circumstances in </w:t>
      </w:r>
      <w:r w:rsidR="00363D5A" w:rsidRPr="008C29BB">
        <w:t>light</w:t>
      </w:r>
      <w:r w:rsidR="00F92C35" w:rsidRPr="008C29BB">
        <w:t xml:space="preserve"> of major reductions in Government </w:t>
      </w:r>
      <w:r w:rsidR="00363D5A" w:rsidRPr="008C29BB">
        <w:t>funding</w:t>
      </w:r>
      <w:r w:rsidR="00F92C35" w:rsidRPr="008C29BB">
        <w:t>. Th</w:t>
      </w:r>
      <w:r w:rsidR="00363D5A" w:rsidRPr="008C29BB">
        <w:t xml:space="preserve">e creation of a </w:t>
      </w:r>
      <w:r w:rsidR="00F92C35" w:rsidRPr="008C29BB">
        <w:t xml:space="preserve">Local Authority Trading Company is the next strategic step recognising the current environment </w:t>
      </w:r>
      <w:r w:rsidR="00363D5A" w:rsidRPr="008C29BB">
        <w:t>and the need to significantly increase</w:t>
      </w:r>
      <w:r w:rsidR="006A34D5" w:rsidRPr="008C29BB">
        <w:t xml:space="preserve"> income generation. </w:t>
      </w:r>
    </w:p>
    <w:p w:rsidR="000705A7" w:rsidRPr="008C29BB" w:rsidRDefault="00CA65B0" w:rsidP="006D37B4">
      <w:pPr>
        <w:pStyle w:val="ListParagraph"/>
      </w:pPr>
      <w:r w:rsidRPr="008C29BB">
        <w:t>The proposal</w:t>
      </w:r>
      <w:r w:rsidR="008E5700" w:rsidRPr="008C29BB">
        <w:t xml:space="preserve"> (subject to further detailed analysis)</w:t>
      </w:r>
      <w:r w:rsidRPr="008C29BB">
        <w:t xml:space="preserve"> is to move all Direct Services into a </w:t>
      </w:r>
      <w:r w:rsidR="009F36FB" w:rsidRPr="008C29BB">
        <w:t xml:space="preserve">group </w:t>
      </w:r>
      <w:r w:rsidRPr="008C29BB">
        <w:t>LATC</w:t>
      </w:r>
      <w:r w:rsidR="009F36FB" w:rsidRPr="008C29BB">
        <w:t xml:space="preserve"> structure</w:t>
      </w:r>
      <w:r w:rsidRPr="008C29BB">
        <w:t xml:space="preserve">. </w:t>
      </w:r>
    </w:p>
    <w:p w:rsidR="007057C7" w:rsidRPr="008C29BB" w:rsidRDefault="007057C7" w:rsidP="007057C7">
      <w:pPr>
        <w:pStyle w:val="ListParagraph"/>
      </w:pPr>
      <w:r w:rsidRPr="008C29BB">
        <w:t xml:space="preserve">The </w:t>
      </w:r>
      <w:r w:rsidR="00421D44" w:rsidRPr="008C29BB">
        <w:t>purpose of establishing a LATC is to</w:t>
      </w:r>
      <w:r w:rsidRPr="008C29BB">
        <w:t>:</w:t>
      </w:r>
    </w:p>
    <w:p w:rsidR="000C6AF9" w:rsidRPr="008C29BB" w:rsidRDefault="000C6AF9" w:rsidP="007057C7">
      <w:pPr>
        <w:pStyle w:val="ListParagraph"/>
        <w:numPr>
          <w:ilvl w:val="0"/>
          <w:numId w:val="40"/>
        </w:numPr>
      </w:pPr>
      <w:r w:rsidRPr="008C29BB">
        <w:t>Sustain and grow an in</w:t>
      </w:r>
      <w:r w:rsidR="00CA65B0" w:rsidRPr="008C29BB">
        <w:t>come stream back to t</w:t>
      </w:r>
      <w:r w:rsidR="00D41569" w:rsidRPr="008C29BB">
        <w:t>he Council – Direct Services is</w:t>
      </w:r>
      <w:r w:rsidR="00CA65B0" w:rsidRPr="008C29BB">
        <w:t xml:space="preserve"> the Council’s main contractor. With budgets diminishing external</w:t>
      </w:r>
      <w:r w:rsidR="008E5700" w:rsidRPr="008C29BB">
        <w:t xml:space="preserve"> trading presents an </w:t>
      </w:r>
      <w:r w:rsidR="00CA65B0" w:rsidRPr="008C29BB">
        <w:t xml:space="preserve">opportunity for future income streams. </w:t>
      </w:r>
    </w:p>
    <w:p w:rsidR="000C6AF9" w:rsidRPr="008C29BB" w:rsidRDefault="000C6AF9" w:rsidP="007057C7">
      <w:pPr>
        <w:pStyle w:val="ListParagraph"/>
        <w:numPr>
          <w:ilvl w:val="0"/>
          <w:numId w:val="40"/>
        </w:numPr>
      </w:pPr>
      <w:r w:rsidRPr="008C29BB">
        <w:t>Drive furth</w:t>
      </w:r>
      <w:r w:rsidR="00CC6FAE">
        <w:t xml:space="preserve">er efficiencies </w:t>
      </w:r>
      <w:r w:rsidR="00CA65B0" w:rsidRPr="008C29BB">
        <w:t>– There will be further emphasis on driving down costs in order to be competitive in the market. The LATC will brin</w:t>
      </w:r>
      <w:r w:rsidR="002548B0" w:rsidRPr="008C29BB">
        <w:t xml:space="preserve">g into sharp focus the need to identify and deliver </w:t>
      </w:r>
      <w:r w:rsidR="00CA65B0" w:rsidRPr="008C29BB">
        <w:t>further efficiencies</w:t>
      </w:r>
      <w:r w:rsidR="00B915CB">
        <w:t xml:space="preserve"> in the Company and</w:t>
      </w:r>
      <w:r w:rsidR="00CC6FAE">
        <w:t xml:space="preserve"> </w:t>
      </w:r>
      <w:r w:rsidR="00B915CB">
        <w:t xml:space="preserve">the </w:t>
      </w:r>
      <w:r w:rsidR="00CC6FAE">
        <w:t>services</w:t>
      </w:r>
      <w:r w:rsidR="00B915CB">
        <w:t xml:space="preserve"> that support it</w:t>
      </w:r>
      <w:r w:rsidR="00CA65B0" w:rsidRPr="008C29BB">
        <w:t>.</w:t>
      </w:r>
    </w:p>
    <w:p w:rsidR="007057C7" w:rsidRPr="008C29BB" w:rsidRDefault="007057C7" w:rsidP="007057C7">
      <w:pPr>
        <w:pStyle w:val="ListParagraph"/>
        <w:numPr>
          <w:ilvl w:val="0"/>
          <w:numId w:val="40"/>
        </w:numPr>
      </w:pPr>
      <w:r w:rsidRPr="008C29BB">
        <w:t xml:space="preserve">Meet the requirements of the </w:t>
      </w:r>
      <w:r w:rsidR="00EE3D11" w:rsidRPr="008C29BB">
        <w:t>Local Government Act 200</w:t>
      </w:r>
      <w:r w:rsidR="00300A5D" w:rsidRPr="008C29BB">
        <w:t>3</w:t>
      </w:r>
      <w:r w:rsidR="002548B0" w:rsidRPr="008C29BB">
        <w:t xml:space="preserve"> in relation to trading</w:t>
      </w:r>
      <w:r w:rsidR="00300A5D" w:rsidRPr="008C29BB">
        <w:t xml:space="preserve">. </w:t>
      </w:r>
      <w:r w:rsidR="00CA65B0" w:rsidRPr="008C29BB">
        <w:t>The LATC will have the benefits</w:t>
      </w:r>
      <w:r w:rsidR="004345FE" w:rsidRPr="008C29BB">
        <w:t xml:space="preserve"> of operating with a T</w:t>
      </w:r>
      <w:r w:rsidR="00CA65B0" w:rsidRPr="008C29BB">
        <w:t xml:space="preserve">eckal exemption </w:t>
      </w:r>
      <w:r w:rsidR="006E13FF">
        <w:t>(see paragraph 20</w:t>
      </w:r>
      <w:r w:rsidR="00300A5D" w:rsidRPr="008C29BB">
        <w:t xml:space="preserve">) </w:t>
      </w:r>
      <w:r w:rsidR="00CA65B0" w:rsidRPr="008C29BB">
        <w:t>as the default internal contractor, whilst also being able to compete freely in the commercial market.</w:t>
      </w:r>
    </w:p>
    <w:p w:rsidR="007057C7" w:rsidRPr="008C29BB" w:rsidRDefault="007057C7" w:rsidP="007057C7">
      <w:pPr>
        <w:pStyle w:val="ListParagraph"/>
        <w:numPr>
          <w:ilvl w:val="0"/>
          <w:numId w:val="39"/>
        </w:numPr>
      </w:pPr>
      <w:r w:rsidRPr="008C29BB">
        <w:t>Establish a pl</w:t>
      </w:r>
      <w:r w:rsidR="00CE00B4" w:rsidRPr="008C29BB">
        <w:t>atform for growth with the same opportunities as other commercial companies</w:t>
      </w:r>
      <w:r w:rsidR="00CA65B0" w:rsidRPr="008C29BB">
        <w:t xml:space="preserve"> – the widening of the market to </w:t>
      </w:r>
      <w:r w:rsidR="008E5700" w:rsidRPr="008C29BB">
        <w:t xml:space="preserve">Oxford </w:t>
      </w:r>
      <w:r w:rsidR="00CA65B0" w:rsidRPr="008C29BB">
        <w:t>Direct Services will present further growth potential</w:t>
      </w:r>
      <w:r w:rsidR="002548B0" w:rsidRPr="008C29BB">
        <w:t>.</w:t>
      </w:r>
    </w:p>
    <w:p w:rsidR="000C6AF9" w:rsidRPr="008C29BB" w:rsidRDefault="000C6AF9" w:rsidP="007057C7">
      <w:pPr>
        <w:pStyle w:val="ListParagraph"/>
        <w:numPr>
          <w:ilvl w:val="0"/>
          <w:numId w:val="39"/>
        </w:numPr>
      </w:pPr>
      <w:r w:rsidRPr="008C29BB">
        <w:t>Maintain and grow</w:t>
      </w:r>
      <w:r w:rsidR="00CA65B0" w:rsidRPr="008C29BB">
        <w:t xml:space="preserve"> good local </w:t>
      </w:r>
      <w:r w:rsidRPr="008C29BB">
        <w:t>employment opportunities</w:t>
      </w:r>
      <w:r w:rsidR="00C83788">
        <w:t xml:space="preserve"> - </w:t>
      </w:r>
      <w:r w:rsidR="00CA65B0" w:rsidRPr="008C29BB">
        <w:t>with the same goo</w:t>
      </w:r>
      <w:r w:rsidR="00C83788">
        <w:t xml:space="preserve">d employment practices </w:t>
      </w:r>
      <w:r w:rsidR="00CA65B0" w:rsidRPr="008C29BB">
        <w:t>as the Council</w:t>
      </w:r>
      <w:r w:rsidR="002548B0" w:rsidRPr="008C29BB">
        <w:t>.</w:t>
      </w:r>
    </w:p>
    <w:p w:rsidR="002548B0" w:rsidRDefault="00EA5FB4" w:rsidP="00CA65B0">
      <w:pPr>
        <w:pStyle w:val="ListParagraph"/>
      </w:pPr>
      <w:r w:rsidRPr="008C29BB">
        <w:t>Whilst there are risks in progressing this strat</w:t>
      </w:r>
      <w:r w:rsidR="00484BC6" w:rsidRPr="008C29BB">
        <w:t>egy, doing nothing</w:t>
      </w:r>
      <w:r w:rsidR="008E5700" w:rsidRPr="008C29BB">
        <w:t xml:space="preserve"> </w:t>
      </w:r>
      <w:r w:rsidR="00FC448E">
        <w:t xml:space="preserve">will have </w:t>
      </w:r>
      <w:r w:rsidR="008E5700" w:rsidRPr="008C29BB">
        <w:t>direct consequence</w:t>
      </w:r>
      <w:r w:rsidR="00FC448E">
        <w:t>s</w:t>
      </w:r>
      <w:r w:rsidR="0088676D" w:rsidRPr="008C29BB">
        <w:t xml:space="preserve"> </w:t>
      </w:r>
      <w:r w:rsidR="00FC448E">
        <w:t>for</w:t>
      </w:r>
      <w:r w:rsidR="0088676D" w:rsidRPr="008C29BB">
        <w:t xml:space="preserve"> the Council’s Medium Term Financial </w:t>
      </w:r>
      <w:r w:rsidR="000A249E">
        <w:t>Plan</w:t>
      </w:r>
      <w:r w:rsidR="0064642D">
        <w:t xml:space="preserve"> (MTFP)</w:t>
      </w:r>
      <w:r w:rsidR="00484BC6" w:rsidRPr="008C29BB">
        <w:t xml:space="preserve">. </w:t>
      </w:r>
    </w:p>
    <w:p w:rsidR="006E13FF" w:rsidRPr="008C29BB" w:rsidRDefault="006E13FF" w:rsidP="006E13FF">
      <w:pPr>
        <w:pStyle w:val="ListParagraph"/>
        <w:numPr>
          <w:ilvl w:val="0"/>
          <w:numId w:val="0"/>
        </w:numPr>
        <w:ind w:left="426"/>
      </w:pPr>
    </w:p>
    <w:p w:rsidR="00345FD4" w:rsidRPr="008C29BB" w:rsidRDefault="00AF65AF" w:rsidP="00931B77">
      <w:pPr>
        <w:rPr>
          <w:b/>
        </w:rPr>
      </w:pPr>
      <w:r w:rsidRPr="008C29BB">
        <w:rPr>
          <w:b/>
        </w:rPr>
        <w:t>Economic Perspective</w:t>
      </w:r>
    </w:p>
    <w:p w:rsidR="00404B17" w:rsidRPr="008C29BB" w:rsidRDefault="00F92C35" w:rsidP="00F92C35">
      <w:pPr>
        <w:pStyle w:val="ListParagraph"/>
      </w:pPr>
      <w:r w:rsidRPr="008C29BB">
        <w:t>The critical success factors in establishing and trading through a LATC are:</w:t>
      </w:r>
    </w:p>
    <w:p w:rsidR="00404B17" w:rsidRPr="008C29BB" w:rsidRDefault="00404B17" w:rsidP="000623AA">
      <w:pPr>
        <w:spacing w:after="0"/>
        <w:ind w:left="720"/>
      </w:pPr>
    </w:p>
    <w:p w:rsidR="00404B17" w:rsidRPr="008C29BB" w:rsidRDefault="00090D60" w:rsidP="00F92C35">
      <w:pPr>
        <w:pStyle w:val="ListParagraph"/>
        <w:numPr>
          <w:ilvl w:val="0"/>
          <w:numId w:val="52"/>
        </w:numPr>
        <w:spacing w:after="0"/>
      </w:pPr>
      <w:r w:rsidRPr="008C29BB">
        <w:t>Deliver then exceed the current MTFP</w:t>
      </w:r>
    </w:p>
    <w:p w:rsidR="00090D60" w:rsidRPr="008C29BB" w:rsidRDefault="00F92C35" w:rsidP="00F92C35">
      <w:pPr>
        <w:pStyle w:val="ListParagraph"/>
        <w:numPr>
          <w:ilvl w:val="0"/>
          <w:numId w:val="52"/>
        </w:numPr>
        <w:spacing w:after="0"/>
      </w:pPr>
      <w:r w:rsidRPr="008C29BB">
        <w:t>Ensure a s</w:t>
      </w:r>
      <w:r w:rsidR="00090D60" w:rsidRPr="008C29BB">
        <w:t>ustainable robust structure for trading</w:t>
      </w:r>
    </w:p>
    <w:p w:rsidR="00090D60" w:rsidRPr="008C29BB" w:rsidRDefault="00C83788" w:rsidP="00A203F7">
      <w:pPr>
        <w:pStyle w:val="ListParagraph"/>
        <w:numPr>
          <w:ilvl w:val="0"/>
          <w:numId w:val="52"/>
        </w:numPr>
        <w:spacing w:after="0"/>
      </w:pPr>
      <w:r>
        <w:t>Prioritise employment stability</w:t>
      </w:r>
    </w:p>
    <w:p w:rsidR="00090D60" w:rsidRPr="008C29BB" w:rsidRDefault="00F92C35" w:rsidP="00F92C35">
      <w:pPr>
        <w:pStyle w:val="ListParagraph"/>
        <w:numPr>
          <w:ilvl w:val="0"/>
          <w:numId w:val="52"/>
        </w:numPr>
        <w:spacing w:after="0"/>
      </w:pPr>
      <w:r w:rsidRPr="008C29BB">
        <w:t>Ensure a s</w:t>
      </w:r>
      <w:r w:rsidR="00090D60" w:rsidRPr="008C29BB">
        <w:t>trong allegiance between Council and LATC</w:t>
      </w:r>
    </w:p>
    <w:p w:rsidR="00090D60" w:rsidRPr="008C29BB" w:rsidRDefault="00090D60" w:rsidP="00F92C35">
      <w:pPr>
        <w:pStyle w:val="ListParagraph"/>
        <w:numPr>
          <w:ilvl w:val="0"/>
          <w:numId w:val="0"/>
        </w:numPr>
        <w:spacing w:after="0"/>
        <w:ind w:left="1440"/>
        <w:rPr>
          <w:i/>
        </w:rPr>
      </w:pPr>
    </w:p>
    <w:p w:rsidR="00AE7623" w:rsidRPr="008C29BB" w:rsidRDefault="00AE7623" w:rsidP="00474E45">
      <w:pPr>
        <w:pStyle w:val="ListParagraph"/>
      </w:pPr>
      <w:r w:rsidRPr="008C29BB">
        <w:t xml:space="preserve">The ambition for </w:t>
      </w:r>
      <w:r w:rsidR="00A11856" w:rsidRPr="008C29BB">
        <w:t xml:space="preserve">Oxford </w:t>
      </w:r>
      <w:r w:rsidR="0042738F">
        <w:t>Direct Services is clear, with f</w:t>
      </w:r>
      <w:r w:rsidRPr="008C29BB">
        <w:t xml:space="preserve">urther growth is set out in the </w:t>
      </w:r>
      <w:r w:rsidR="002548B0" w:rsidRPr="008C29BB">
        <w:t>MTFP</w:t>
      </w:r>
      <w:r w:rsidR="00A11856" w:rsidRPr="008C29BB">
        <w:t>.</w:t>
      </w:r>
      <w:r w:rsidR="006E13FF">
        <w:t xml:space="preserve"> </w:t>
      </w:r>
    </w:p>
    <w:p w:rsidR="00254EAF" w:rsidRPr="008C29BB" w:rsidRDefault="00AE7623" w:rsidP="00254EAF">
      <w:pPr>
        <w:pStyle w:val="ListParagraph"/>
      </w:pPr>
      <w:r w:rsidRPr="008C29BB">
        <w:lastRenderedPageBreak/>
        <w:t xml:space="preserve">An evaluation of future operating structures was undertaken in order to consider how best to deliver this ambition. </w:t>
      </w:r>
      <w:r w:rsidR="00254EAF" w:rsidRPr="008C29BB">
        <w:t>The key features of each option were set out, as were the financi</w:t>
      </w:r>
      <w:r w:rsidR="00A11856" w:rsidRPr="008C29BB">
        <w:t>al, legal, corporation tax, VAT</w:t>
      </w:r>
      <w:r w:rsidR="00254EAF" w:rsidRPr="008C29BB">
        <w:t xml:space="preserve"> and governance perspectives. </w:t>
      </w:r>
    </w:p>
    <w:p w:rsidR="00474E45" w:rsidRPr="008C29BB" w:rsidRDefault="00474E45" w:rsidP="00474E45">
      <w:pPr>
        <w:pStyle w:val="ListParagraph"/>
      </w:pPr>
      <w:r w:rsidRPr="008C29BB">
        <w:t xml:space="preserve"> </w:t>
      </w:r>
      <w:r w:rsidR="00254EAF" w:rsidRPr="008C29BB">
        <w:t xml:space="preserve">The </w:t>
      </w:r>
      <w:r w:rsidRPr="008C29BB">
        <w:t xml:space="preserve">options open to the Council are: </w:t>
      </w:r>
    </w:p>
    <w:p w:rsidR="00950A99" w:rsidRPr="0034740C" w:rsidRDefault="0034740C" w:rsidP="00950A99">
      <w:pPr>
        <w:pStyle w:val="Default"/>
        <w:numPr>
          <w:ilvl w:val="0"/>
          <w:numId w:val="55"/>
        </w:numPr>
        <w:spacing w:after="158"/>
        <w:rPr>
          <w:rFonts w:ascii="Arial" w:hAnsi="Arial" w:cs="Arial"/>
        </w:rPr>
      </w:pPr>
      <w:r w:rsidRPr="0034740C">
        <w:rPr>
          <w:rFonts w:ascii="Arial" w:hAnsi="Arial" w:cs="Arial"/>
        </w:rPr>
        <w:t>Reconsider the trading ambition within the MTFP</w:t>
      </w:r>
      <w:r w:rsidR="00950A99" w:rsidRPr="0034740C">
        <w:rPr>
          <w:rFonts w:ascii="Arial" w:hAnsi="Arial" w:cs="Arial"/>
        </w:rPr>
        <w:t xml:space="preserve">. This will </w:t>
      </w:r>
      <w:r>
        <w:rPr>
          <w:rFonts w:ascii="Arial" w:hAnsi="Arial" w:cs="Arial"/>
        </w:rPr>
        <w:t xml:space="preserve">potentially </w:t>
      </w:r>
      <w:r w:rsidR="008A4E98" w:rsidRPr="0034740C">
        <w:rPr>
          <w:rFonts w:ascii="Arial" w:hAnsi="Arial" w:cs="Arial"/>
        </w:rPr>
        <w:t>impact service</w:t>
      </w:r>
      <w:r>
        <w:rPr>
          <w:rFonts w:ascii="Arial" w:hAnsi="Arial" w:cs="Arial"/>
        </w:rPr>
        <w:t>s and delivery and of the Council’s MTFP</w:t>
      </w:r>
      <w:r w:rsidR="00B915CB">
        <w:rPr>
          <w:rFonts w:ascii="Arial" w:hAnsi="Arial" w:cs="Arial"/>
        </w:rPr>
        <w:t>.</w:t>
      </w:r>
    </w:p>
    <w:p w:rsidR="00E17E96" w:rsidRPr="008C29BB" w:rsidRDefault="00950A99" w:rsidP="00950A99">
      <w:pPr>
        <w:pStyle w:val="Default"/>
        <w:numPr>
          <w:ilvl w:val="0"/>
          <w:numId w:val="55"/>
        </w:numPr>
        <w:rPr>
          <w:rFonts w:ascii="Arial" w:hAnsi="Arial" w:cs="Arial"/>
        </w:rPr>
      </w:pPr>
      <w:r w:rsidRPr="008C29BB">
        <w:rPr>
          <w:rFonts w:ascii="Arial" w:hAnsi="Arial" w:cs="Arial"/>
        </w:rPr>
        <w:t>Create a LATC as a new operating model</w:t>
      </w:r>
      <w:r w:rsidR="00474E45" w:rsidRPr="008C29BB">
        <w:rPr>
          <w:rFonts w:ascii="Arial" w:hAnsi="Arial" w:cs="Arial"/>
        </w:rPr>
        <w:t xml:space="preserve"> – there will be greater commercial opportunities and wider legal fr</w:t>
      </w:r>
      <w:r w:rsidRPr="008C29BB">
        <w:rPr>
          <w:rFonts w:ascii="Arial" w:hAnsi="Arial" w:cs="Arial"/>
        </w:rPr>
        <w:t>eedoms to trade, but there are</w:t>
      </w:r>
      <w:r w:rsidR="00E17E96" w:rsidRPr="008C29BB">
        <w:rPr>
          <w:rFonts w:ascii="Arial" w:hAnsi="Arial" w:cs="Arial"/>
        </w:rPr>
        <w:t xml:space="preserve"> financial</w:t>
      </w:r>
      <w:r w:rsidR="00254EAF" w:rsidRPr="008C29BB">
        <w:rPr>
          <w:rFonts w:ascii="Arial" w:hAnsi="Arial" w:cs="Arial"/>
        </w:rPr>
        <w:t xml:space="preserve"> implications to consider. </w:t>
      </w:r>
    </w:p>
    <w:p w:rsidR="00950A99" w:rsidRPr="008C29BB" w:rsidRDefault="00950A99">
      <w:pPr>
        <w:spacing w:after="0"/>
        <w:rPr>
          <w:rFonts w:cs="Arial"/>
        </w:rPr>
      </w:pPr>
    </w:p>
    <w:p w:rsidR="00950A99" w:rsidRPr="008C29BB" w:rsidRDefault="00950A99" w:rsidP="00950A99">
      <w:pPr>
        <w:pStyle w:val="ListParagraph"/>
      </w:pPr>
      <w:r w:rsidRPr="008C29BB">
        <w:t xml:space="preserve">Given </w:t>
      </w:r>
      <w:r w:rsidR="00A11856" w:rsidRPr="008C29BB">
        <w:t>the significant disadvantages in option A</w:t>
      </w:r>
      <w:r w:rsidRPr="008C29BB">
        <w:t>, the proposal is to progress with</w:t>
      </w:r>
      <w:r w:rsidR="00A11856" w:rsidRPr="008C29BB">
        <w:t xml:space="preserve"> Option B</w:t>
      </w:r>
      <w:r w:rsidRPr="008C29BB">
        <w:t xml:space="preserve"> – create a new LATC.</w:t>
      </w:r>
    </w:p>
    <w:p w:rsidR="004B2446" w:rsidRPr="008C29BB" w:rsidRDefault="002D21D0" w:rsidP="001B02DE">
      <w:pPr>
        <w:pStyle w:val="ListParagraph"/>
      </w:pPr>
      <w:r w:rsidRPr="008C29BB">
        <w:t xml:space="preserve">To meet the Council’s requirements this LATC would be a </w:t>
      </w:r>
      <w:r w:rsidR="0066483B" w:rsidRPr="007829BE">
        <w:rPr>
          <w:bCs/>
        </w:rPr>
        <w:t>Company limited by shares with</w:t>
      </w:r>
      <w:r w:rsidR="006E13FF" w:rsidRPr="008911CD">
        <w:rPr>
          <w:bCs/>
        </w:rPr>
        <w:t xml:space="preserve"> a</w:t>
      </w:r>
      <w:r w:rsidR="0066483B" w:rsidRPr="008911CD">
        <w:rPr>
          <w:bCs/>
        </w:rPr>
        <w:t xml:space="preserve"> ‘Teckal’ arm</w:t>
      </w:r>
      <w:r w:rsidR="0042738F">
        <w:rPr>
          <w:bCs/>
        </w:rPr>
        <w:t>. A</w:t>
      </w:r>
      <w:r w:rsidRPr="008911CD">
        <w:rPr>
          <w:bCs/>
        </w:rPr>
        <w:t xml:space="preserve"> </w:t>
      </w:r>
      <w:r w:rsidRPr="008C29BB">
        <w:t>‘Teckal’ exemption</w:t>
      </w:r>
      <w:r w:rsidR="0066483B" w:rsidRPr="008C29BB">
        <w:t xml:space="preserve"> </w:t>
      </w:r>
      <w:r w:rsidR="0066483B" w:rsidRPr="007829BE">
        <w:rPr>
          <w:lang w:val="en"/>
        </w:rPr>
        <w:t xml:space="preserve">allows a public authority (in </w:t>
      </w:r>
      <w:r w:rsidR="00D71BBB" w:rsidRPr="007829BE">
        <w:rPr>
          <w:lang w:val="en"/>
        </w:rPr>
        <w:t>‘</w:t>
      </w:r>
      <w:r w:rsidR="0066483B" w:rsidRPr="007829BE">
        <w:rPr>
          <w:lang w:val="en"/>
        </w:rPr>
        <w:t>specified circumstances</w:t>
      </w:r>
      <w:r w:rsidR="00D71BBB" w:rsidRPr="007829BE">
        <w:rPr>
          <w:lang w:val="en"/>
        </w:rPr>
        <w:t>’</w:t>
      </w:r>
      <w:r w:rsidR="0066483B" w:rsidRPr="007829BE">
        <w:rPr>
          <w:lang w:val="en"/>
        </w:rPr>
        <w:t xml:space="preserve"> – see below) to procure direct from an ‘external’ company outside of the </w:t>
      </w:r>
      <w:r w:rsidR="0034740C">
        <w:rPr>
          <w:lang w:val="en"/>
        </w:rPr>
        <w:t xml:space="preserve">public sector </w:t>
      </w:r>
      <w:r w:rsidR="0066483B" w:rsidRPr="007829BE">
        <w:rPr>
          <w:lang w:val="en"/>
        </w:rPr>
        <w:t>procurement rules. This is a significant advantage to both the Council and LATC</w:t>
      </w:r>
      <w:r w:rsidR="007829BE" w:rsidRPr="007829BE">
        <w:rPr>
          <w:lang w:val="en"/>
        </w:rPr>
        <w:t xml:space="preserve"> as </w:t>
      </w:r>
      <w:r w:rsidR="007829BE">
        <w:t>t</w:t>
      </w:r>
      <w:r w:rsidR="0066483B" w:rsidRPr="008C29BB">
        <w:t xml:space="preserve">his arm of the group remains focused on the Council as the major client and mitigates the risk of conflict between council focus and commercial clients. </w:t>
      </w:r>
      <w:r w:rsidR="004B2446" w:rsidRPr="007829BE">
        <w:rPr>
          <w:rFonts w:cs="Arial"/>
          <w:lang w:val="en"/>
        </w:rPr>
        <w:t xml:space="preserve">The </w:t>
      </w:r>
      <w:r w:rsidR="00D71BBB" w:rsidRPr="008911CD">
        <w:rPr>
          <w:rFonts w:cs="Arial"/>
          <w:lang w:val="en"/>
        </w:rPr>
        <w:t>‘</w:t>
      </w:r>
      <w:r w:rsidR="004B2446" w:rsidRPr="008911CD">
        <w:rPr>
          <w:rFonts w:cs="Arial"/>
          <w:lang w:val="en"/>
        </w:rPr>
        <w:t>specified circumstances</w:t>
      </w:r>
      <w:r w:rsidR="00D71BBB" w:rsidRPr="008911CD">
        <w:rPr>
          <w:rFonts w:cs="Arial"/>
          <w:lang w:val="en"/>
        </w:rPr>
        <w:t>’</w:t>
      </w:r>
      <w:r w:rsidR="004B2446" w:rsidRPr="008911CD">
        <w:rPr>
          <w:rFonts w:cs="Arial"/>
          <w:lang w:val="en"/>
        </w:rPr>
        <w:t xml:space="preserve"> are that</w:t>
      </w:r>
      <w:r w:rsidR="0077136C" w:rsidRPr="00A81029">
        <w:rPr>
          <w:rFonts w:cs="Arial"/>
          <w:lang w:val="en"/>
        </w:rPr>
        <w:t>:</w:t>
      </w:r>
    </w:p>
    <w:p w:rsidR="004B2446" w:rsidRPr="008C29BB" w:rsidRDefault="004B2446" w:rsidP="004B2446">
      <w:pPr>
        <w:pStyle w:val="Default"/>
        <w:ind w:left="720"/>
      </w:pPr>
    </w:p>
    <w:p w:rsidR="004B2446" w:rsidRPr="008C29BB" w:rsidRDefault="004B2446" w:rsidP="001B02DE">
      <w:pPr>
        <w:pStyle w:val="Default"/>
        <w:numPr>
          <w:ilvl w:val="2"/>
          <w:numId w:val="14"/>
        </w:numPr>
        <w:spacing w:after="157"/>
        <w:ind w:left="993"/>
        <w:rPr>
          <w:rFonts w:ascii="Arial" w:hAnsi="Arial" w:cs="Arial"/>
          <w:i/>
        </w:rPr>
      </w:pPr>
      <w:r w:rsidRPr="008C29BB">
        <w:rPr>
          <w:rFonts w:ascii="Arial" w:hAnsi="Arial" w:cs="Arial"/>
          <w:i/>
        </w:rPr>
        <w:t>The Teckal Co is a wholly-owned in-house company established predominantly to provide services to the Council</w:t>
      </w:r>
    </w:p>
    <w:p w:rsidR="004B2446" w:rsidRPr="008C29BB" w:rsidRDefault="004B2446" w:rsidP="001B02DE">
      <w:pPr>
        <w:pStyle w:val="Default"/>
        <w:numPr>
          <w:ilvl w:val="2"/>
          <w:numId w:val="14"/>
        </w:numPr>
        <w:spacing w:after="157"/>
        <w:ind w:left="993"/>
        <w:rPr>
          <w:rFonts w:ascii="Arial" w:hAnsi="Arial" w:cs="Arial"/>
          <w:i/>
        </w:rPr>
      </w:pPr>
      <w:r w:rsidRPr="008C29BB">
        <w:rPr>
          <w:rFonts w:ascii="Arial" w:hAnsi="Arial" w:cs="Arial"/>
          <w:i/>
        </w:rPr>
        <w:t xml:space="preserve">The Council exercises a “control” over </w:t>
      </w:r>
      <w:r w:rsidR="008911CD">
        <w:rPr>
          <w:rFonts w:ascii="Arial" w:hAnsi="Arial" w:cs="Arial"/>
          <w:i/>
        </w:rPr>
        <w:t xml:space="preserve">the </w:t>
      </w:r>
      <w:r w:rsidRPr="008C29BB">
        <w:rPr>
          <w:rFonts w:ascii="Arial" w:hAnsi="Arial" w:cs="Arial"/>
          <w:i/>
        </w:rPr>
        <w:t xml:space="preserve">Teckal Co similar to that which it exercises over </w:t>
      </w:r>
      <w:r w:rsidR="00171591" w:rsidRPr="008C29BB">
        <w:rPr>
          <w:rFonts w:ascii="Arial" w:hAnsi="Arial" w:cs="Arial"/>
          <w:i/>
        </w:rPr>
        <w:t>its</w:t>
      </w:r>
      <w:r w:rsidRPr="008C29BB">
        <w:rPr>
          <w:rFonts w:ascii="Arial" w:hAnsi="Arial" w:cs="Arial"/>
          <w:i/>
        </w:rPr>
        <w:t xml:space="preserve"> own departments (whereby ‘control’ means exercising a decisive influence over both strategic objectives and significant decisions</w:t>
      </w:r>
      <w:r w:rsidR="008911CD">
        <w:rPr>
          <w:rFonts w:ascii="Arial" w:hAnsi="Arial" w:cs="Arial"/>
          <w:i/>
        </w:rPr>
        <w:t>)</w:t>
      </w:r>
      <w:r w:rsidRPr="008C29BB">
        <w:rPr>
          <w:rFonts w:ascii="Arial" w:hAnsi="Arial" w:cs="Arial"/>
          <w:i/>
        </w:rPr>
        <w:t xml:space="preserve"> </w:t>
      </w:r>
    </w:p>
    <w:p w:rsidR="004B2446" w:rsidRPr="008C29BB" w:rsidRDefault="0095702B" w:rsidP="001B02DE">
      <w:pPr>
        <w:pStyle w:val="Default"/>
        <w:numPr>
          <w:ilvl w:val="2"/>
          <w:numId w:val="14"/>
        </w:numPr>
        <w:spacing w:after="157"/>
        <w:ind w:left="993"/>
        <w:rPr>
          <w:rFonts w:ascii="Arial" w:hAnsi="Arial" w:cs="Arial"/>
          <w:i/>
        </w:rPr>
      </w:pPr>
      <w:r w:rsidRPr="008C29BB">
        <w:rPr>
          <w:rFonts w:ascii="Arial" w:hAnsi="Arial" w:cs="Arial"/>
          <w:i/>
        </w:rPr>
        <w:t>At least</w:t>
      </w:r>
      <w:r w:rsidR="004B2446" w:rsidRPr="008C29BB">
        <w:rPr>
          <w:rFonts w:ascii="Arial" w:hAnsi="Arial" w:cs="Arial"/>
          <w:i/>
        </w:rPr>
        <w:t xml:space="preserve"> 80% of the activities of the Teckal Co must be for the Council</w:t>
      </w:r>
    </w:p>
    <w:p w:rsidR="00090D60" w:rsidRPr="008C29BB" w:rsidRDefault="004B2446" w:rsidP="001B02DE">
      <w:pPr>
        <w:pStyle w:val="Default"/>
        <w:numPr>
          <w:ilvl w:val="2"/>
          <w:numId w:val="14"/>
        </w:numPr>
        <w:ind w:left="993"/>
        <w:rPr>
          <w:rFonts w:ascii="Arial" w:hAnsi="Arial" w:cs="Arial"/>
          <w:i/>
        </w:rPr>
      </w:pPr>
      <w:r w:rsidRPr="008C29BB">
        <w:rPr>
          <w:rFonts w:ascii="Arial" w:hAnsi="Arial" w:cs="Arial"/>
          <w:i/>
        </w:rPr>
        <w:t>No direct private capital participation in Teckal Co</w:t>
      </w:r>
    </w:p>
    <w:p w:rsidR="001F7EBB" w:rsidRPr="008C29BB" w:rsidRDefault="001F7EBB" w:rsidP="001F7EBB">
      <w:pPr>
        <w:pStyle w:val="ListParagraph"/>
        <w:numPr>
          <w:ilvl w:val="0"/>
          <w:numId w:val="0"/>
        </w:numPr>
        <w:spacing w:after="157"/>
        <w:ind w:left="426" w:hanging="426"/>
        <w:rPr>
          <w:noProof/>
        </w:rPr>
      </w:pPr>
    </w:p>
    <w:p w:rsidR="00D71BBB" w:rsidRPr="008C29BB" w:rsidRDefault="00D71BBB" w:rsidP="00D71BBB">
      <w:pPr>
        <w:pStyle w:val="ListParagraph"/>
      </w:pPr>
      <w:r w:rsidRPr="008C29BB">
        <w:t xml:space="preserve">The diagram below shows the proposed group structure. ‘Hold Co’ is a company owned wholly by the Council. Depending on the nature of the work (Council or private) it would be delivered either through the Teckal or non-Teckal arm. </w:t>
      </w:r>
    </w:p>
    <w:p w:rsidR="0042738F" w:rsidRDefault="0042738F" w:rsidP="003F180F">
      <w:pPr>
        <w:pStyle w:val="ListParagraph"/>
        <w:numPr>
          <w:ilvl w:val="0"/>
          <w:numId w:val="0"/>
        </w:numPr>
        <w:ind w:left="426"/>
      </w:pPr>
    </w:p>
    <w:p w:rsidR="003F180F" w:rsidRPr="008C29BB" w:rsidRDefault="003F180F" w:rsidP="003F180F">
      <w:pPr>
        <w:pStyle w:val="ListParagraph"/>
        <w:numPr>
          <w:ilvl w:val="0"/>
          <w:numId w:val="0"/>
        </w:numPr>
        <w:ind w:left="426"/>
      </w:pPr>
      <w:r w:rsidRPr="008C29BB">
        <w:rPr>
          <w:noProof/>
        </w:rPr>
        <w:lastRenderedPageBreak/>
        <w:drawing>
          <wp:inline distT="0" distB="0" distL="0" distR="0" wp14:anchorId="49CFEDF0" wp14:editId="48E7FB8F">
            <wp:extent cx="5896625" cy="3181350"/>
            <wp:effectExtent l="0" t="0" r="8890" b="0"/>
            <wp:docPr id="4" name="Picture 4" descr="cid:image002.png@01D27BCA.97FBD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27BCA.97FBD68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904230" cy="3185453"/>
                    </a:xfrm>
                    <a:prstGeom prst="rect">
                      <a:avLst/>
                    </a:prstGeom>
                    <a:noFill/>
                    <a:ln>
                      <a:noFill/>
                    </a:ln>
                  </pic:spPr>
                </pic:pic>
              </a:graphicData>
            </a:graphic>
          </wp:inline>
        </w:drawing>
      </w:r>
    </w:p>
    <w:p w:rsidR="00A73CD5" w:rsidRPr="008C29BB" w:rsidRDefault="00254EAF" w:rsidP="00254EAF">
      <w:pPr>
        <w:pStyle w:val="ListParagraph"/>
      </w:pPr>
      <w:r w:rsidRPr="008C29BB">
        <w:t>A group structure (rather than a single company model</w:t>
      </w:r>
      <w:r w:rsidR="00DA4D4B" w:rsidRPr="008C29BB">
        <w:t>) comprises</w:t>
      </w:r>
      <w:r w:rsidRPr="008C29BB">
        <w:t xml:space="preserve"> a commercial trading subsidiary </w:t>
      </w:r>
      <w:r w:rsidR="0034740C">
        <w:t xml:space="preserve">(non-Teckal) </w:t>
      </w:r>
      <w:r w:rsidRPr="008C29BB">
        <w:t>and a Teckal subsidiary would enable the company</w:t>
      </w:r>
      <w:r w:rsidR="0042738F">
        <w:t xml:space="preserve"> to trade ba</w:t>
      </w:r>
      <w:r w:rsidRPr="008C29BB">
        <w:t xml:space="preserve">ck to the Council unfettered by </w:t>
      </w:r>
      <w:r w:rsidR="0034740C">
        <w:t xml:space="preserve">public sector </w:t>
      </w:r>
      <w:r w:rsidRPr="008C29BB">
        <w:t xml:space="preserve">procurement regulations, while still being able to trade </w:t>
      </w:r>
      <w:r w:rsidR="00DD77CF" w:rsidRPr="008C29BB">
        <w:t>freely in the commercial world.</w:t>
      </w:r>
      <w:r w:rsidR="004917BD" w:rsidRPr="008C29BB">
        <w:t> </w:t>
      </w:r>
    </w:p>
    <w:p w:rsidR="00D71BBB" w:rsidRPr="008C29BB" w:rsidRDefault="00D71BBB" w:rsidP="00D71BBB">
      <w:pPr>
        <w:pStyle w:val="ListParagraph"/>
        <w:numPr>
          <w:ilvl w:val="0"/>
          <w:numId w:val="0"/>
        </w:numPr>
        <w:ind w:left="426"/>
      </w:pPr>
    </w:p>
    <w:p w:rsidR="00AF65AF" w:rsidRPr="008C29BB" w:rsidRDefault="004917BD" w:rsidP="00D71BBB">
      <w:pPr>
        <w:ind w:left="426" w:hanging="426"/>
        <w:rPr>
          <w:b/>
        </w:rPr>
      </w:pPr>
      <w:r w:rsidRPr="008C29BB">
        <w:t xml:space="preserve"> </w:t>
      </w:r>
      <w:r w:rsidR="00AF65AF" w:rsidRPr="008C29BB">
        <w:rPr>
          <w:b/>
        </w:rPr>
        <w:t>Commercial Perspective</w:t>
      </w:r>
    </w:p>
    <w:p w:rsidR="003C6562" w:rsidRPr="008C29BB" w:rsidRDefault="003C6562" w:rsidP="003C6562">
      <w:pPr>
        <w:pStyle w:val="ListParagraph"/>
      </w:pPr>
      <w:r w:rsidRPr="008C29BB">
        <w:t xml:space="preserve">The commercial ambition for the new LATC will be to grow the business </w:t>
      </w:r>
      <w:r w:rsidR="001B02DE" w:rsidRPr="008C29BB">
        <w:t xml:space="preserve">in the trading arm </w:t>
      </w:r>
      <w:r w:rsidRPr="008C29BB">
        <w:t xml:space="preserve">free from the legal constraints of public authority regulation and enhance margins through efficiencies and cost reductions. </w:t>
      </w:r>
    </w:p>
    <w:p w:rsidR="001B02DE" w:rsidRPr="008C29BB" w:rsidRDefault="001B02DE" w:rsidP="003C6562">
      <w:pPr>
        <w:pStyle w:val="ListParagraph"/>
      </w:pPr>
      <w:r w:rsidRPr="008C29BB">
        <w:t>In the Teckal arm the ambition will be to optimise best value in the delivery of the Council’s services.</w:t>
      </w:r>
    </w:p>
    <w:p w:rsidR="003C6562" w:rsidRPr="008C29BB" w:rsidRDefault="003C6562" w:rsidP="00B04451">
      <w:pPr>
        <w:pStyle w:val="ListParagraph"/>
      </w:pPr>
      <w:r w:rsidRPr="008C29BB">
        <w:t>Preliminary work has identified potential growth which if achieved would deliver an additional net contribution back to the Council</w:t>
      </w:r>
      <w:r w:rsidR="00165840" w:rsidRPr="008C29BB">
        <w:t>.</w:t>
      </w:r>
      <w:r w:rsidR="00B04451">
        <w:t xml:space="preserve"> </w:t>
      </w:r>
      <w:r w:rsidR="00DA24A0" w:rsidRPr="008C29BB">
        <w:t>There a</w:t>
      </w:r>
      <w:r w:rsidR="001B02DE" w:rsidRPr="008C29BB">
        <w:t xml:space="preserve">re some </w:t>
      </w:r>
      <w:r w:rsidR="00B04451">
        <w:t xml:space="preserve">critical </w:t>
      </w:r>
      <w:r w:rsidR="001B02DE" w:rsidRPr="00C83788">
        <w:t xml:space="preserve">dependencies which </w:t>
      </w:r>
      <w:r w:rsidR="00C83788" w:rsidRPr="00C83788">
        <w:t>need to be</w:t>
      </w:r>
      <w:r w:rsidR="001B02DE" w:rsidRPr="00C83788">
        <w:t xml:space="preserve"> addressed in order to</w:t>
      </w:r>
      <w:r w:rsidRPr="00C83788">
        <w:t xml:space="preserve"> achieve this, </w:t>
      </w:r>
      <w:r w:rsidR="001B02DE" w:rsidRPr="00C83788">
        <w:t xml:space="preserve">such as </w:t>
      </w:r>
      <w:r w:rsidRPr="00C83788">
        <w:t>capital</w:t>
      </w:r>
      <w:r w:rsidRPr="008C29BB">
        <w:t xml:space="preserve"> investment</w:t>
      </w:r>
      <w:r w:rsidR="00DA24A0" w:rsidRPr="008C29BB">
        <w:t xml:space="preserve"> geared in line with business growth</w:t>
      </w:r>
      <w:r w:rsidRPr="008C29BB">
        <w:t xml:space="preserve"> </w:t>
      </w:r>
      <w:r w:rsidR="001B02DE" w:rsidRPr="008C29BB">
        <w:t>(e.g. additional vehicles), a depot expan</w:t>
      </w:r>
      <w:r w:rsidR="00DA24A0" w:rsidRPr="008C29BB">
        <w:t xml:space="preserve">sion and changes in the way support services are delivered. </w:t>
      </w:r>
    </w:p>
    <w:p w:rsidR="003C6562" w:rsidRPr="008C29BB" w:rsidRDefault="003C6562" w:rsidP="003C6562">
      <w:pPr>
        <w:pStyle w:val="ListParagraph"/>
      </w:pPr>
      <w:r w:rsidRPr="008C29BB">
        <w:t xml:space="preserve">In the </w:t>
      </w:r>
      <w:r w:rsidR="004578C4" w:rsidRPr="008C29BB">
        <w:t>short to medium term there</w:t>
      </w:r>
      <w:r w:rsidR="00FC66C0" w:rsidRPr="008C29BB">
        <w:t xml:space="preserve"> are</w:t>
      </w:r>
      <w:r w:rsidR="004578C4" w:rsidRPr="008C29BB">
        <w:t xml:space="preserve"> three potential </w:t>
      </w:r>
      <w:r w:rsidRPr="008C29BB">
        <w:t>growth areas:</w:t>
      </w:r>
    </w:p>
    <w:p w:rsidR="003C6562" w:rsidRPr="008C29BB" w:rsidRDefault="003C6562" w:rsidP="003C6562">
      <w:pPr>
        <w:pStyle w:val="ListParagraph"/>
        <w:numPr>
          <w:ilvl w:val="0"/>
          <w:numId w:val="0"/>
        </w:numPr>
        <w:ind w:left="426"/>
        <w:rPr>
          <w:b/>
        </w:rPr>
      </w:pPr>
      <w:r w:rsidRPr="008C29BB">
        <w:rPr>
          <w:b/>
        </w:rPr>
        <w:t>Commercial Waste</w:t>
      </w:r>
    </w:p>
    <w:p w:rsidR="003C6562" w:rsidRPr="008C29BB" w:rsidRDefault="003C6562" w:rsidP="003C6562">
      <w:pPr>
        <w:pStyle w:val="ListParagraph"/>
        <w:numPr>
          <w:ilvl w:val="0"/>
          <w:numId w:val="0"/>
        </w:numPr>
        <w:ind w:left="426"/>
      </w:pPr>
      <w:r w:rsidRPr="008C29BB">
        <w:t xml:space="preserve">The Council has </w:t>
      </w:r>
      <w:r w:rsidR="006E13FF">
        <w:t>a relatively small percentage</w:t>
      </w:r>
      <w:r w:rsidRPr="008C29BB">
        <w:t xml:space="preserve"> of the market inside the ring road which presents an opportunity for growth. </w:t>
      </w:r>
    </w:p>
    <w:p w:rsidR="003C6562" w:rsidRPr="008C29BB" w:rsidRDefault="003C6562" w:rsidP="003C6562">
      <w:pPr>
        <w:pStyle w:val="ListParagraph"/>
        <w:numPr>
          <w:ilvl w:val="0"/>
          <w:numId w:val="0"/>
        </w:numPr>
        <w:ind w:left="426"/>
        <w:rPr>
          <w:b/>
        </w:rPr>
      </w:pPr>
      <w:r w:rsidRPr="008C29BB">
        <w:rPr>
          <w:b/>
        </w:rPr>
        <w:t>Highways &amp; engineering</w:t>
      </w:r>
    </w:p>
    <w:p w:rsidR="003C6562" w:rsidRPr="008C29BB" w:rsidRDefault="00D83A34" w:rsidP="003C6562">
      <w:pPr>
        <w:pStyle w:val="ListParagraph"/>
        <w:numPr>
          <w:ilvl w:val="0"/>
          <w:numId w:val="0"/>
        </w:numPr>
        <w:ind w:left="426"/>
      </w:pPr>
      <w:r>
        <w:t>The opportunity here (</w:t>
      </w:r>
      <w:r w:rsidR="003C6562" w:rsidRPr="008C29BB">
        <w:t xml:space="preserve">in addition to significant </w:t>
      </w:r>
      <w:r w:rsidR="00DA24A0" w:rsidRPr="008C29BB">
        <w:t xml:space="preserve">internal </w:t>
      </w:r>
      <w:r>
        <w:t xml:space="preserve">projects </w:t>
      </w:r>
      <w:r w:rsidR="003C6562" w:rsidRPr="008C29BB">
        <w:t>such as the Seacourt extension)</w:t>
      </w:r>
      <w:r>
        <w:t xml:space="preserve"> is</w:t>
      </w:r>
      <w:r w:rsidR="003C6562" w:rsidRPr="008C29BB">
        <w:t xml:space="preserve"> </w:t>
      </w:r>
      <w:r w:rsidR="00A81029">
        <w:t xml:space="preserve">the potential to </w:t>
      </w:r>
      <w:r w:rsidR="003C6562" w:rsidRPr="008C29BB">
        <w:t>deliver other schemes which in the market are seen as too big for small contractors an</w:t>
      </w:r>
      <w:r w:rsidR="00DA24A0" w:rsidRPr="008C29BB">
        <w:t>d too small for large national</w:t>
      </w:r>
      <w:r w:rsidR="003C6562" w:rsidRPr="008C29BB">
        <w:t xml:space="preserve"> contractors.</w:t>
      </w:r>
    </w:p>
    <w:p w:rsidR="00D04FE4" w:rsidRDefault="00D04FE4" w:rsidP="003C6562">
      <w:pPr>
        <w:pStyle w:val="ListParagraph"/>
        <w:numPr>
          <w:ilvl w:val="0"/>
          <w:numId w:val="0"/>
        </w:numPr>
        <w:ind w:left="426"/>
        <w:rPr>
          <w:b/>
        </w:rPr>
      </w:pPr>
    </w:p>
    <w:p w:rsidR="00D04FE4" w:rsidRDefault="00D04FE4" w:rsidP="003C6562">
      <w:pPr>
        <w:pStyle w:val="ListParagraph"/>
        <w:numPr>
          <w:ilvl w:val="0"/>
          <w:numId w:val="0"/>
        </w:numPr>
        <w:ind w:left="426"/>
        <w:rPr>
          <w:b/>
        </w:rPr>
      </w:pPr>
    </w:p>
    <w:p w:rsidR="003C6562" w:rsidRPr="008C29BB" w:rsidRDefault="003C6562" w:rsidP="003C6562">
      <w:pPr>
        <w:pStyle w:val="ListParagraph"/>
        <w:numPr>
          <w:ilvl w:val="0"/>
          <w:numId w:val="0"/>
        </w:numPr>
        <w:ind w:left="426"/>
        <w:rPr>
          <w:b/>
        </w:rPr>
      </w:pPr>
      <w:r w:rsidRPr="008C29BB">
        <w:rPr>
          <w:b/>
        </w:rPr>
        <w:lastRenderedPageBreak/>
        <w:t>Building</w:t>
      </w:r>
    </w:p>
    <w:p w:rsidR="0034740C" w:rsidRPr="008C29BB" w:rsidRDefault="0034740C" w:rsidP="0034740C">
      <w:pPr>
        <w:pStyle w:val="ListParagraph"/>
        <w:numPr>
          <w:ilvl w:val="0"/>
          <w:numId w:val="0"/>
        </w:numPr>
        <w:ind w:left="426"/>
      </w:pPr>
      <w:r w:rsidRPr="008C29BB">
        <w:t>Due to the reductions in volume and value of internal work over the life of the MTFP</w:t>
      </w:r>
      <w:r>
        <w:t xml:space="preserve"> and further uncertainty arising from government policy changes that impact our HRA business plan</w:t>
      </w:r>
      <w:r w:rsidRPr="008C29BB">
        <w:t xml:space="preserve">, a significant increase in external work will be required in order to maintain the current workforce. There is growth potential in repairs and maintenance for others, </w:t>
      </w:r>
      <w:r>
        <w:t>as well as undertaking</w:t>
      </w:r>
      <w:r w:rsidRPr="008C29BB">
        <w:t xml:space="preserve"> small housing developments </w:t>
      </w:r>
    </w:p>
    <w:p w:rsidR="00260974" w:rsidRPr="00260974" w:rsidRDefault="003C6562" w:rsidP="00260974">
      <w:pPr>
        <w:pStyle w:val="ListParagraph"/>
        <w:rPr>
          <w:iCs/>
        </w:rPr>
      </w:pPr>
      <w:r w:rsidRPr="00260974">
        <w:rPr>
          <w:lang w:val="en"/>
        </w:rPr>
        <w:t xml:space="preserve">To drive the business, a </w:t>
      </w:r>
      <w:r w:rsidR="00707281" w:rsidRPr="00260974">
        <w:rPr>
          <w:lang w:val="en"/>
        </w:rPr>
        <w:t xml:space="preserve">Group </w:t>
      </w:r>
      <w:r w:rsidR="00C973D3" w:rsidRPr="00260974">
        <w:rPr>
          <w:lang w:val="en"/>
        </w:rPr>
        <w:t xml:space="preserve">Board </w:t>
      </w:r>
      <w:r w:rsidR="00707281" w:rsidRPr="00260974">
        <w:rPr>
          <w:lang w:val="en"/>
        </w:rPr>
        <w:t xml:space="preserve">structure </w:t>
      </w:r>
      <w:r w:rsidR="00C973D3" w:rsidRPr="00260974">
        <w:rPr>
          <w:lang w:val="en"/>
        </w:rPr>
        <w:t>will provide the strategic, entrepreneurial, financial and reputational leadership including agreeing commercial objectives, monitoring performance against those aims and ensuring effective controls and resources are in place.</w:t>
      </w:r>
      <w:r w:rsidR="00707281" w:rsidRPr="00260974">
        <w:rPr>
          <w:lang w:val="en"/>
        </w:rPr>
        <w:t xml:space="preserve"> ‘HoldCo’, ‘NewCo’ and ‘NewCo2’ all have boards and t</w:t>
      </w:r>
      <w:r w:rsidR="00707281" w:rsidRPr="00260974">
        <w:t xml:space="preserve">he same individuals could sit on all three. </w:t>
      </w:r>
    </w:p>
    <w:p w:rsidR="00707281" w:rsidRPr="00260974" w:rsidRDefault="00260974" w:rsidP="00260974">
      <w:pPr>
        <w:pStyle w:val="ListParagraph"/>
        <w:rPr>
          <w:i/>
          <w:iCs/>
        </w:rPr>
      </w:pPr>
      <w:r w:rsidRPr="00260974">
        <w:t xml:space="preserve">The Board will </w:t>
      </w:r>
      <w:r w:rsidR="000E3B63">
        <w:t xml:space="preserve">likely </w:t>
      </w:r>
      <w:r w:rsidRPr="00260974">
        <w:t>comprise the Chief Executive, Dir</w:t>
      </w:r>
      <w:r w:rsidR="000E3B63">
        <w:t>ector for Community Services,</w:t>
      </w:r>
      <w:r w:rsidRPr="00260974">
        <w:t xml:space="preserve"> Di</w:t>
      </w:r>
      <w:r w:rsidR="000E3B63">
        <w:t>rector for</w:t>
      </w:r>
      <w:r w:rsidR="0064642D">
        <w:t xml:space="preserve"> Organisational Development and</w:t>
      </w:r>
      <w:r w:rsidR="000E3B63">
        <w:t xml:space="preserve"> Corporate Services</w:t>
      </w:r>
      <w:r w:rsidRPr="00260974">
        <w:t xml:space="preserve"> and the Managing</w:t>
      </w:r>
      <w:r>
        <w:t xml:space="preserve"> Director for Oxford Direct Services (who will run the company operations day to day). Two non-executive directors will be recruited, one with commercial experience in the services to be traded and one with finance and risk management experience in the commercial sector. </w:t>
      </w:r>
      <w:r w:rsidR="00707281" w:rsidRPr="00260974">
        <w:rPr>
          <w:lang w:val="en"/>
        </w:rPr>
        <w:t xml:space="preserve">Importantly, the Board will also safeguard the </w:t>
      </w:r>
      <w:r w:rsidR="00E87216" w:rsidRPr="00260974">
        <w:rPr>
          <w:lang w:val="en"/>
        </w:rPr>
        <w:t>public service ethos and set</w:t>
      </w:r>
      <w:r w:rsidR="00707281" w:rsidRPr="00260974">
        <w:rPr>
          <w:lang w:val="en"/>
        </w:rPr>
        <w:t xml:space="preserve"> the tone for the culture, values and behaviours for commercial success. </w:t>
      </w:r>
      <w:r w:rsidR="00CC6FAE" w:rsidRPr="00260974">
        <w:rPr>
          <w:iCs/>
        </w:rPr>
        <w:t>The idea of appointing a Director from the staff cohort to give a different perspective to the strategic direction of the business is also being explored.</w:t>
      </w:r>
    </w:p>
    <w:p w:rsidR="00C973D3" w:rsidRPr="008C29BB" w:rsidRDefault="00535D7D" w:rsidP="00524441">
      <w:pPr>
        <w:pStyle w:val="ListParagraph"/>
      </w:pPr>
      <w:r>
        <w:t xml:space="preserve">The </w:t>
      </w:r>
      <w:r w:rsidR="0071166E">
        <w:t xml:space="preserve">members of the </w:t>
      </w:r>
      <w:r>
        <w:t>City Executive Board</w:t>
      </w:r>
      <w:r w:rsidR="0071166E">
        <w:t>, sittin</w:t>
      </w:r>
      <w:r w:rsidR="00FC25A9">
        <w:t>g as the Shareholder Committee,</w:t>
      </w:r>
      <w:r>
        <w:t xml:space="preserve"> wi</w:t>
      </w:r>
      <w:r w:rsidR="0071166E">
        <w:t>ll</w:t>
      </w:r>
      <w:r>
        <w:t xml:space="preserve"> </w:t>
      </w:r>
      <w:r w:rsidR="000128E2">
        <w:t xml:space="preserve">represent the Council’s </w:t>
      </w:r>
      <w:r>
        <w:t>Shareholder</w:t>
      </w:r>
      <w:r w:rsidR="000128E2">
        <w:t xml:space="preserve"> interest</w:t>
      </w:r>
      <w:r w:rsidR="00C15A0A">
        <w:t xml:space="preserve"> and</w:t>
      </w:r>
      <w:r w:rsidR="00707281" w:rsidRPr="008C29BB">
        <w:t xml:space="preserve"> </w:t>
      </w:r>
      <w:r w:rsidR="00A23505" w:rsidRPr="008C29BB">
        <w:t>oversee the company under the t</w:t>
      </w:r>
      <w:r w:rsidR="0039667D">
        <w:t>erms of a Shareholder Agreement.</w:t>
      </w:r>
    </w:p>
    <w:p w:rsidR="00B63B07" w:rsidRPr="008C29BB" w:rsidRDefault="00B63B07" w:rsidP="00B63B07">
      <w:pPr>
        <w:pStyle w:val="ListParagraph"/>
        <w:rPr>
          <w:lang w:val="en"/>
        </w:rPr>
      </w:pPr>
      <w:r w:rsidRPr="008C29BB">
        <w:t xml:space="preserve">The Scrutiny Committee will be able to review or scrutinise decisions taken by the Shareholder Committee. </w:t>
      </w:r>
    </w:p>
    <w:p w:rsidR="00C973D3" w:rsidRPr="008C29BB" w:rsidRDefault="00F35A3D" w:rsidP="00DA24A0">
      <w:pPr>
        <w:pStyle w:val="ListParagraph"/>
      </w:pPr>
      <w:r w:rsidRPr="008C29BB">
        <w:t>Subject to further evaluation of the most appropriate way to resource services, it is likely that a</w:t>
      </w:r>
      <w:r w:rsidR="00DA24A0" w:rsidRPr="008C29BB">
        <w:t>ll</w:t>
      </w:r>
      <w:r w:rsidR="0017653A" w:rsidRPr="008C29BB">
        <w:t xml:space="preserve"> Direct Services s</w:t>
      </w:r>
      <w:r w:rsidR="00C973D3" w:rsidRPr="008C29BB">
        <w:t xml:space="preserve">taff </w:t>
      </w:r>
      <w:r w:rsidR="00EC7011" w:rsidRPr="008C29BB">
        <w:t xml:space="preserve">associated with the delivery of transferred </w:t>
      </w:r>
      <w:r w:rsidR="007B07F3">
        <w:t xml:space="preserve">functions </w:t>
      </w:r>
      <w:r w:rsidR="00C973D3" w:rsidRPr="008C29BB">
        <w:t xml:space="preserve">will be transferred into the company </w:t>
      </w:r>
      <w:r w:rsidR="006276FF" w:rsidRPr="008C29BB">
        <w:t xml:space="preserve">(‘HoldCo’) </w:t>
      </w:r>
      <w:r w:rsidR="00C973D3" w:rsidRPr="008C29BB">
        <w:t xml:space="preserve">via a TUPE agreement </w:t>
      </w:r>
      <w:r w:rsidR="007B07F3">
        <w:t xml:space="preserve">prior to </w:t>
      </w:r>
      <w:r w:rsidR="00EC7011" w:rsidRPr="008C29BB">
        <w:t>the end of the calendar year</w:t>
      </w:r>
      <w:r w:rsidR="00C973D3" w:rsidRPr="008C29BB">
        <w:t xml:space="preserve">. </w:t>
      </w:r>
      <w:r w:rsidR="00B04451">
        <w:t>This will form part of the subsequent report back to CEB.</w:t>
      </w:r>
      <w:r w:rsidR="00C973D3" w:rsidRPr="008C29BB">
        <w:t xml:space="preserve"> </w:t>
      </w:r>
    </w:p>
    <w:p w:rsidR="008137F7" w:rsidRPr="008C29BB" w:rsidRDefault="00F35A3D" w:rsidP="008137F7">
      <w:pPr>
        <w:pStyle w:val="ListParagraph"/>
      </w:pPr>
      <w:r w:rsidRPr="008C29BB">
        <w:t xml:space="preserve">TUPE ensures that if </w:t>
      </w:r>
      <w:proofErr w:type="gramStart"/>
      <w:r w:rsidRPr="008C29BB">
        <w:t>staff transfer</w:t>
      </w:r>
      <w:proofErr w:type="gramEnd"/>
      <w:r w:rsidR="00B915CB">
        <w:t xml:space="preserve"> in</w:t>
      </w:r>
      <w:r w:rsidR="008137F7" w:rsidRPr="008C29BB">
        <w:t xml:space="preserve"> </w:t>
      </w:r>
      <w:r w:rsidRPr="008C29BB">
        <w:t xml:space="preserve">they </w:t>
      </w:r>
      <w:r w:rsidR="008137F7" w:rsidRPr="008C29BB">
        <w:t>move across on existing terms and conditions of emp</w:t>
      </w:r>
      <w:r w:rsidRPr="008C29BB">
        <w:t>loyment</w:t>
      </w:r>
      <w:r w:rsidR="00D83A34">
        <w:t>.</w:t>
      </w:r>
      <w:r w:rsidR="00CC6FAE">
        <w:t xml:space="preserve"> As in the Fusion contract, re</w:t>
      </w:r>
      <w:r w:rsidR="00CC6FAE" w:rsidRPr="008C29BB">
        <w:t xml:space="preserve">gardless of the legal conditions for TUPE, the Council and the Company will assume that TUPE does apply </w:t>
      </w:r>
      <w:r w:rsidR="00B915CB">
        <w:t xml:space="preserve">in the event of a transfer </w:t>
      </w:r>
      <w:r w:rsidR="00CC6FAE" w:rsidRPr="008C29BB">
        <w:t>and will be obliged under contract to guarantee the protections that TUPE brings.</w:t>
      </w:r>
    </w:p>
    <w:p w:rsidR="00B850B6" w:rsidRPr="008C29BB" w:rsidRDefault="000E6855" w:rsidP="00DD77CF">
      <w:pPr>
        <w:pStyle w:val="ListParagraph"/>
      </w:pPr>
      <w:r>
        <w:t xml:space="preserve">Further work will also be done </w:t>
      </w:r>
      <w:r w:rsidR="009F6894">
        <w:t xml:space="preserve">to </w:t>
      </w:r>
      <w:r w:rsidR="00643201" w:rsidRPr="008C29BB">
        <w:t xml:space="preserve">explore </w:t>
      </w:r>
      <w:r w:rsidR="00DD77CF" w:rsidRPr="008C29BB">
        <w:t>more choice and flexibility</w:t>
      </w:r>
      <w:r w:rsidR="004F7028" w:rsidRPr="008C29BB">
        <w:t xml:space="preserve"> in terms and conditions </w:t>
      </w:r>
      <w:r w:rsidR="00DD77CF" w:rsidRPr="008C29BB">
        <w:t xml:space="preserve">for new employees </w:t>
      </w:r>
      <w:r w:rsidR="00A274E2" w:rsidRPr="008C29BB">
        <w:t>hired to the company after transfer.</w:t>
      </w:r>
      <w:r>
        <w:t xml:space="preserve"> Again this will be subject to a further report </w:t>
      </w:r>
      <w:r w:rsidR="008569E7">
        <w:t>to CEB.</w:t>
      </w:r>
    </w:p>
    <w:p w:rsidR="00524441" w:rsidRPr="008C29BB" w:rsidRDefault="006276FF" w:rsidP="00524441">
      <w:pPr>
        <w:pStyle w:val="ListParagraph"/>
      </w:pPr>
      <w:r w:rsidRPr="008C29BB">
        <w:t>The proposal assumes the company will continue to buy support services from the Council. Service contracts will</w:t>
      </w:r>
      <w:r w:rsidR="00C973D3" w:rsidRPr="008C29BB">
        <w:t xml:space="preserve"> be established to enable the company to procure </w:t>
      </w:r>
      <w:r w:rsidR="004578C4" w:rsidRPr="008C29BB">
        <w:t>these services.</w:t>
      </w:r>
      <w:r w:rsidR="00C973D3" w:rsidRPr="008C29BB">
        <w:t xml:space="preserve"> </w:t>
      </w:r>
      <w:r w:rsidRPr="008C29BB">
        <w:t>The c</w:t>
      </w:r>
      <w:r w:rsidR="00524441" w:rsidRPr="008C29BB">
        <w:t xml:space="preserve">ompany will work with </w:t>
      </w:r>
      <w:r w:rsidR="00C22858" w:rsidRPr="008C29BB">
        <w:t xml:space="preserve">the Council’s </w:t>
      </w:r>
      <w:r w:rsidR="00524441" w:rsidRPr="008C29BB">
        <w:t xml:space="preserve">support services to minimise costs, maximise effectiveness and therefore increase surplus to the Council. </w:t>
      </w:r>
    </w:p>
    <w:p w:rsidR="00D04FE4" w:rsidRDefault="00D04FE4" w:rsidP="00524441">
      <w:pPr>
        <w:pStyle w:val="ListParagraph"/>
        <w:numPr>
          <w:ilvl w:val="0"/>
          <w:numId w:val="0"/>
        </w:numPr>
        <w:ind w:left="426"/>
        <w:rPr>
          <w:b/>
        </w:rPr>
      </w:pPr>
    </w:p>
    <w:p w:rsidR="00D04FE4" w:rsidRDefault="00D04FE4" w:rsidP="00524441">
      <w:pPr>
        <w:pStyle w:val="ListParagraph"/>
        <w:numPr>
          <w:ilvl w:val="0"/>
          <w:numId w:val="0"/>
        </w:numPr>
        <w:ind w:left="426"/>
        <w:rPr>
          <w:b/>
        </w:rPr>
      </w:pPr>
    </w:p>
    <w:p w:rsidR="00C973D3" w:rsidRPr="008C29BB" w:rsidRDefault="00C973D3" w:rsidP="00524441">
      <w:pPr>
        <w:pStyle w:val="ListParagraph"/>
        <w:numPr>
          <w:ilvl w:val="0"/>
          <w:numId w:val="0"/>
        </w:numPr>
        <w:ind w:left="426"/>
        <w:rPr>
          <w:b/>
        </w:rPr>
      </w:pPr>
      <w:r w:rsidRPr="008C29BB">
        <w:rPr>
          <w:b/>
        </w:rPr>
        <w:lastRenderedPageBreak/>
        <w:t>VAT, Corporation Tax</w:t>
      </w:r>
      <w:r w:rsidR="00171591" w:rsidRPr="008C29BB">
        <w:rPr>
          <w:b/>
        </w:rPr>
        <w:t>, Pensions</w:t>
      </w:r>
      <w:r w:rsidR="00454FAF" w:rsidRPr="008C29BB">
        <w:rPr>
          <w:b/>
        </w:rPr>
        <w:t xml:space="preserve">, </w:t>
      </w:r>
      <w:r w:rsidRPr="008C29BB">
        <w:rPr>
          <w:b/>
        </w:rPr>
        <w:t xml:space="preserve">Transfer Pricing, </w:t>
      </w:r>
      <w:r w:rsidR="00171591" w:rsidRPr="008C29BB">
        <w:rPr>
          <w:b/>
        </w:rPr>
        <w:t>etc.</w:t>
      </w:r>
    </w:p>
    <w:p w:rsidR="008C126C" w:rsidRPr="008C29BB" w:rsidRDefault="008C126C" w:rsidP="008C126C">
      <w:pPr>
        <w:pStyle w:val="ListParagraph"/>
      </w:pPr>
      <w:r w:rsidRPr="008C29BB">
        <w:rPr>
          <w:rFonts w:cs="Arial"/>
        </w:rPr>
        <w:t>VAT will be charged on services to Oxford City Council a</w:t>
      </w:r>
      <w:r w:rsidR="00793CE3">
        <w:rPr>
          <w:rFonts w:cs="Arial"/>
        </w:rPr>
        <w:t>s well as</w:t>
      </w:r>
      <w:r w:rsidRPr="008C29BB">
        <w:rPr>
          <w:rFonts w:cs="Arial"/>
        </w:rPr>
        <w:t xml:space="preserve"> third parties. We would not expect this to create </w:t>
      </w:r>
      <w:r w:rsidR="001F1726">
        <w:rPr>
          <w:rFonts w:cs="Arial"/>
        </w:rPr>
        <w:t xml:space="preserve">an additional cost to </w:t>
      </w:r>
      <w:r w:rsidRPr="008C29BB">
        <w:rPr>
          <w:rFonts w:cs="Arial"/>
        </w:rPr>
        <w:t xml:space="preserve">the Council due to </w:t>
      </w:r>
      <w:r w:rsidR="001F1726">
        <w:rPr>
          <w:rFonts w:cs="Arial"/>
        </w:rPr>
        <w:t xml:space="preserve">its ability to recover VAT </w:t>
      </w:r>
      <w:r w:rsidR="00793CE3">
        <w:rPr>
          <w:rFonts w:cs="Arial"/>
        </w:rPr>
        <w:t xml:space="preserve">under </w:t>
      </w:r>
      <w:r w:rsidRPr="008C29BB">
        <w:rPr>
          <w:rFonts w:cs="Arial"/>
        </w:rPr>
        <w:t xml:space="preserve">the 5% rule. The 5% rule broadly says that, if VAT on costs attributable to exempt business activities is less than 5% of total VAT incurred (business and non-business), then the authority can recover all of its input VAT. Where third party customers are VAT registered, this is likely to be tax neutral as input VAT would be fully recoverable for them. </w:t>
      </w:r>
    </w:p>
    <w:p w:rsidR="008C126C" w:rsidRPr="008C29BB" w:rsidRDefault="008C126C" w:rsidP="008C126C">
      <w:pPr>
        <w:pStyle w:val="ListParagraph"/>
      </w:pPr>
      <w:r w:rsidRPr="00272DE8">
        <w:rPr>
          <w:rFonts w:cs="Arial"/>
        </w:rPr>
        <w:t xml:space="preserve">However, customers </w:t>
      </w:r>
      <w:r w:rsidR="00793CE3" w:rsidRPr="00272DE8">
        <w:rPr>
          <w:rFonts w:cs="Arial"/>
        </w:rPr>
        <w:t>that are</w:t>
      </w:r>
      <w:r w:rsidRPr="00272DE8">
        <w:rPr>
          <w:rFonts w:cs="Arial"/>
        </w:rPr>
        <w:t xml:space="preserve"> education bodies (academies, schools, </w:t>
      </w:r>
      <w:r w:rsidR="00171591" w:rsidRPr="00272DE8">
        <w:rPr>
          <w:rFonts w:cs="Arial"/>
        </w:rPr>
        <w:t>etc.</w:t>
      </w:r>
      <w:r w:rsidRPr="00272DE8">
        <w:rPr>
          <w:rFonts w:cs="Arial"/>
        </w:rPr>
        <w:t>) will suffer an input VAT cost. Management are currently exploring opportunities to mitigate</w:t>
      </w:r>
      <w:r w:rsidR="00272DE8" w:rsidRPr="00272DE8">
        <w:rPr>
          <w:rFonts w:cs="Arial"/>
        </w:rPr>
        <w:t xml:space="preserve"> this and</w:t>
      </w:r>
      <w:r w:rsidR="00272DE8">
        <w:rPr>
          <w:rFonts w:cs="Arial"/>
        </w:rPr>
        <w:t xml:space="preserve"> will seek to </w:t>
      </w:r>
      <w:r w:rsidRPr="00272DE8">
        <w:rPr>
          <w:rFonts w:cs="Arial"/>
        </w:rPr>
        <w:t>obtain a non-statutory clearance from HMRC on the proposed structure to confirm that it is not viewed as abusive and subject to anti avoidance rules.</w:t>
      </w:r>
    </w:p>
    <w:p w:rsidR="00D83A34" w:rsidRDefault="00EC7011" w:rsidP="008137F7">
      <w:pPr>
        <w:pStyle w:val="ListParagraph"/>
      </w:pPr>
      <w:r w:rsidRPr="008C29BB">
        <w:t xml:space="preserve">The Council </w:t>
      </w:r>
      <w:r w:rsidR="00272DE8">
        <w:t>will</w:t>
      </w:r>
      <w:r w:rsidR="00EA298A" w:rsidRPr="008C29BB">
        <w:t xml:space="preserve"> </w:t>
      </w:r>
      <w:r w:rsidR="004B1774">
        <w:t xml:space="preserve">also </w:t>
      </w:r>
      <w:r w:rsidR="00EA298A" w:rsidRPr="008C29BB">
        <w:t>seek an exemption</w:t>
      </w:r>
      <w:r w:rsidR="004B1774">
        <w:t xml:space="preserve"> from HMRC</w:t>
      </w:r>
      <w:r w:rsidR="00EA298A" w:rsidRPr="008C29BB">
        <w:t xml:space="preserve"> from corporation tax on profits earned on services provided to the Council </w:t>
      </w:r>
      <w:r w:rsidR="004B1774">
        <w:t xml:space="preserve">through </w:t>
      </w:r>
      <w:r w:rsidR="00EA298A" w:rsidRPr="008C29BB">
        <w:t>the Teckal arm</w:t>
      </w:r>
      <w:r w:rsidR="009F6894">
        <w:t xml:space="preserve"> of the company</w:t>
      </w:r>
    </w:p>
    <w:p w:rsidR="006276FF" w:rsidRPr="008C29BB" w:rsidRDefault="0066483B" w:rsidP="008137F7">
      <w:pPr>
        <w:pStyle w:val="ListParagraph"/>
      </w:pPr>
      <w:r w:rsidRPr="008C29BB">
        <w:t>The Local Government Pensions Scheme (LGPS) is a significant issue to be addressed. A key requirement will be to ensure</w:t>
      </w:r>
      <w:r w:rsidR="009503ED" w:rsidRPr="008C29BB">
        <w:t xml:space="preserve"> that</w:t>
      </w:r>
      <w:r w:rsidRPr="008C29BB">
        <w:t xml:space="preserve"> current Council employees transferring into the LATC continue to benefit from LGPS </w:t>
      </w:r>
      <w:r w:rsidR="009503ED" w:rsidRPr="008C29BB">
        <w:t>(</w:t>
      </w:r>
      <w:r w:rsidRPr="008C29BB">
        <w:t xml:space="preserve">through </w:t>
      </w:r>
      <w:r w:rsidR="009503ED" w:rsidRPr="008C29BB">
        <w:t xml:space="preserve">‘Designated’ or ‘Admitted Body’ status, whichever best meets the financial, individual and administrative perspectives), </w:t>
      </w:r>
      <w:r w:rsidRPr="008C29BB">
        <w:t>that there is no significant additional cost to the Council and that the LATC can bear the pension cost. </w:t>
      </w:r>
      <w:r w:rsidR="00EC7011" w:rsidRPr="008C29BB">
        <w:t xml:space="preserve">The provision of the LGPS for </w:t>
      </w:r>
      <w:r w:rsidR="00864E45">
        <w:t xml:space="preserve">any </w:t>
      </w:r>
      <w:r w:rsidR="00EC7011" w:rsidRPr="008C29BB">
        <w:t>transferring staff will be a contractual condition</w:t>
      </w:r>
      <w:r w:rsidR="006276FF" w:rsidRPr="008C29BB">
        <w:t>.</w:t>
      </w:r>
    </w:p>
    <w:p w:rsidR="00F863DF" w:rsidRPr="008C29BB" w:rsidRDefault="006276FF" w:rsidP="008137F7">
      <w:pPr>
        <w:pStyle w:val="ListParagraph"/>
      </w:pPr>
      <w:r w:rsidRPr="008C29BB">
        <w:t>Whilst the details of the exact arrangements</w:t>
      </w:r>
      <w:r w:rsidR="00EC7011" w:rsidRPr="008C29BB">
        <w:t xml:space="preserve"> to be followed </w:t>
      </w:r>
      <w:r w:rsidRPr="008C29BB">
        <w:t>are</w:t>
      </w:r>
      <w:r w:rsidR="00EC7011" w:rsidRPr="008C29BB">
        <w:t xml:space="preserve"> being determined</w:t>
      </w:r>
      <w:r w:rsidRPr="008C29BB">
        <w:t>, a potential model</w:t>
      </w:r>
      <w:r w:rsidR="008137F7" w:rsidRPr="008C29BB">
        <w:t xml:space="preserve"> exists with our Leisure Services provider Fusion Lifestyle whereby they agree to meet the costs of the </w:t>
      </w:r>
      <w:r w:rsidR="009323F0" w:rsidRPr="008C29BB">
        <w:t>employer’s</w:t>
      </w:r>
      <w:r w:rsidR="008137F7" w:rsidRPr="008C29BB">
        <w:t xml:space="preserve"> pension contributions plus or minus an agreed percentage, after which point the Council underwrite any difference. </w:t>
      </w:r>
      <w:r w:rsidR="0066483B" w:rsidRPr="008C29BB">
        <w:t xml:space="preserve"> </w:t>
      </w:r>
      <w:r w:rsidRPr="008C29BB">
        <w:t>This arrangement has served the Council well in guaranteeing the LGPS for transferring staff whilst managing the cost and the risk.</w:t>
      </w:r>
    </w:p>
    <w:p w:rsidR="008C126C" w:rsidRPr="008C29BB" w:rsidRDefault="00F863DF" w:rsidP="00F863DF">
      <w:pPr>
        <w:pStyle w:val="ListParagraph"/>
      </w:pPr>
      <w:r w:rsidRPr="008C29BB">
        <w:t>Stamp Duty Land Tax group relief should be available for the grant</w:t>
      </w:r>
      <w:r w:rsidR="00EC4562">
        <w:t>ing</w:t>
      </w:r>
      <w:r w:rsidRPr="008C29BB">
        <w:t xml:space="preserve"> of market rent leases from the Council to the wholly owned companies and a claim will need to be filed in the SDLT return within 30 days. </w:t>
      </w:r>
    </w:p>
    <w:p w:rsidR="00995CA8" w:rsidRPr="0039667D" w:rsidRDefault="00586B7C" w:rsidP="0039667D">
      <w:pPr>
        <w:rPr>
          <w:b/>
        </w:rPr>
      </w:pPr>
      <w:r w:rsidRPr="0039667D">
        <w:rPr>
          <w:b/>
        </w:rPr>
        <w:t>Management</w:t>
      </w:r>
      <w:r w:rsidR="00995CA8" w:rsidRPr="0039667D">
        <w:rPr>
          <w:b/>
        </w:rPr>
        <w:t xml:space="preserve"> Perspective</w:t>
      </w:r>
    </w:p>
    <w:p w:rsidR="00995CA8" w:rsidRPr="008C29BB" w:rsidRDefault="00891327" w:rsidP="00891327">
      <w:pPr>
        <w:pStyle w:val="ListParagraph"/>
      </w:pPr>
      <w:r w:rsidRPr="008C29BB">
        <w:t xml:space="preserve">The project is being managed using the </w:t>
      </w:r>
      <w:r w:rsidR="001F7EBB" w:rsidRPr="008C29BB">
        <w:t xml:space="preserve">Council’s </w:t>
      </w:r>
      <w:r w:rsidRPr="008C29BB">
        <w:t xml:space="preserve">agreed project management methodology. The Direct Services Board </w:t>
      </w:r>
      <w:r w:rsidR="00364F45" w:rsidRPr="008C29BB">
        <w:t>have</w:t>
      </w:r>
      <w:r w:rsidR="00F2061B" w:rsidRPr="008C29BB">
        <w:t xml:space="preserve"> approved</w:t>
      </w:r>
      <w:r w:rsidR="006E13FF">
        <w:t xml:space="preserve"> the </w:t>
      </w:r>
      <w:r w:rsidR="009F6894">
        <w:t xml:space="preserve">initial </w:t>
      </w:r>
      <w:r w:rsidR="006E13FF">
        <w:t>business case and are</w:t>
      </w:r>
      <w:r w:rsidR="00F2061B" w:rsidRPr="008C29BB">
        <w:t xml:space="preserve"> </w:t>
      </w:r>
      <w:r w:rsidR="00BF120E" w:rsidRPr="008C29BB">
        <w:t>overseeing</w:t>
      </w:r>
      <w:r w:rsidR="00F54E56">
        <w:t xml:space="preserve"> the further work required for</w:t>
      </w:r>
      <w:r w:rsidR="00F2061B" w:rsidRPr="008C29BB">
        <w:t xml:space="preserve"> implementation</w:t>
      </w:r>
      <w:r w:rsidR="00A41590">
        <w:t>. A project b</w:t>
      </w:r>
      <w:r w:rsidRPr="008C29BB">
        <w:t>oard of officers is also in place meeting regularly to progress the workstreams</w:t>
      </w:r>
      <w:r w:rsidR="00FF4454" w:rsidRPr="008C29BB">
        <w:t>. A P</w:t>
      </w:r>
      <w:r w:rsidR="00A41590">
        <w:t xml:space="preserve">roject Initiation Document </w:t>
      </w:r>
      <w:r w:rsidR="00FF4454" w:rsidRPr="008C29BB">
        <w:t xml:space="preserve">and a </w:t>
      </w:r>
      <w:r w:rsidR="00A41590">
        <w:t>P</w:t>
      </w:r>
      <w:r w:rsidR="00FF4454" w:rsidRPr="008C29BB">
        <w:t>roj</w:t>
      </w:r>
      <w:r w:rsidR="00A41590">
        <w:t>ect P</w:t>
      </w:r>
      <w:r w:rsidR="00F2061B" w:rsidRPr="008C29BB">
        <w:t>lan have both been drafted and approved.</w:t>
      </w:r>
    </w:p>
    <w:p w:rsidR="00891327" w:rsidRPr="008C29BB" w:rsidRDefault="00891327" w:rsidP="007F7BFF">
      <w:pPr>
        <w:pStyle w:val="ListParagraph"/>
      </w:pPr>
      <w:r w:rsidRPr="008C29BB">
        <w:t>The</w:t>
      </w:r>
      <w:r w:rsidR="007F7BFF" w:rsidRPr="008C29BB">
        <w:t xml:space="preserve"> project is in two phases; drafting a business case to support the establishment of the new company with effect from </w:t>
      </w:r>
      <w:r w:rsidRPr="008C29BB">
        <w:t>1 Ap</w:t>
      </w:r>
      <w:r w:rsidR="00FF4454" w:rsidRPr="008C29BB">
        <w:t>ril 2017</w:t>
      </w:r>
      <w:r w:rsidR="007F7BFF" w:rsidRPr="008C29BB">
        <w:t xml:space="preserve">, and; delivering an </w:t>
      </w:r>
      <w:r w:rsidR="00111BD7">
        <w:t>i</w:t>
      </w:r>
      <w:r w:rsidR="00FF4454" w:rsidRPr="008C29BB">
        <w:t>mplementation plan</w:t>
      </w:r>
      <w:r w:rsidR="00F2061B" w:rsidRPr="008C29BB">
        <w:t xml:space="preserve"> </w:t>
      </w:r>
      <w:r w:rsidR="007F7BFF" w:rsidRPr="008C29BB">
        <w:t>to ensure the company is running effectively</w:t>
      </w:r>
      <w:r w:rsidR="00B915CB">
        <w:t xml:space="preserve"> by November </w:t>
      </w:r>
      <w:r w:rsidR="00F76F0D">
        <w:t>2017</w:t>
      </w:r>
      <w:r w:rsidR="00875DD0" w:rsidRPr="008C29BB">
        <w:t>.</w:t>
      </w:r>
      <w:r w:rsidR="007F7BFF" w:rsidRPr="008C29BB">
        <w:t xml:space="preserve"> </w:t>
      </w:r>
    </w:p>
    <w:p w:rsidR="00BF120E" w:rsidRPr="008C29BB" w:rsidRDefault="00814F38" w:rsidP="00891327">
      <w:pPr>
        <w:pStyle w:val="ListParagraph"/>
      </w:pPr>
      <w:r w:rsidRPr="008C29BB">
        <w:t>The implementation plan will set out</w:t>
      </w:r>
      <w:r w:rsidR="00F76F0D">
        <w:t xml:space="preserve"> the key work streams in detail, including</w:t>
      </w:r>
      <w:r w:rsidR="006C7DB4" w:rsidRPr="008C29BB">
        <w:t>:</w:t>
      </w:r>
    </w:p>
    <w:p w:rsidR="00F64610" w:rsidRPr="008C29BB" w:rsidRDefault="00F64610" w:rsidP="006C7DB4">
      <w:pPr>
        <w:pStyle w:val="ListParagraph"/>
        <w:numPr>
          <w:ilvl w:val="0"/>
          <w:numId w:val="48"/>
        </w:numPr>
        <w:spacing w:after="0"/>
        <w:ind w:left="1145" w:hanging="357"/>
      </w:pPr>
      <w:r w:rsidRPr="008C29BB">
        <w:t>Financial controls &amp; procedures</w:t>
      </w:r>
    </w:p>
    <w:p w:rsidR="006C7DB4" w:rsidRPr="008C29BB" w:rsidRDefault="006C7DB4" w:rsidP="006C7DB4">
      <w:pPr>
        <w:pStyle w:val="ListParagraph"/>
        <w:numPr>
          <w:ilvl w:val="0"/>
          <w:numId w:val="48"/>
        </w:numPr>
        <w:spacing w:after="0"/>
        <w:ind w:left="1145" w:hanging="357"/>
      </w:pPr>
      <w:r w:rsidRPr="008C29BB">
        <w:t xml:space="preserve">Legal &amp; contractual documentation </w:t>
      </w:r>
    </w:p>
    <w:p w:rsidR="006C7DB4" w:rsidRPr="008C29BB" w:rsidRDefault="006C7DB4" w:rsidP="006C7DB4">
      <w:pPr>
        <w:pStyle w:val="ListParagraph"/>
        <w:numPr>
          <w:ilvl w:val="0"/>
          <w:numId w:val="48"/>
        </w:numPr>
        <w:spacing w:after="0"/>
        <w:ind w:left="1145" w:hanging="357"/>
      </w:pPr>
      <w:r w:rsidRPr="008C29BB">
        <w:t>Licensing</w:t>
      </w:r>
    </w:p>
    <w:p w:rsidR="006C7DB4" w:rsidRPr="008C29BB" w:rsidRDefault="006C7DB4" w:rsidP="006C7DB4">
      <w:pPr>
        <w:pStyle w:val="ListParagraph"/>
        <w:numPr>
          <w:ilvl w:val="0"/>
          <w:numId w:val="48"/>
        </w:numPr>
        <w:spacing w:after="0"/>
        <w:ind w:left="1145" w:hanging="357"/>
      </w:pPr>
      <w:r w:rsidRPr="008C29BB">
        <w:t>Banking &amp; insurance</w:t>
      </w:r>
    </w:p>
    <w:p w:rsidR="006C7DB4" w:rsidRPr="008C29BB" w:rsidRDefault="006C7DB4" w:rsidP="006C7DB4">
      <w:pPr>
        <w:pStyle w:val="ListParagraph"/>
        <w:numPr>
          <w:ilvl w:val="0"/>
          <w:numId w:val="48"/>
        </w:numPr>
        <w:spacing w:after="0"/>
        <w:ind w:left="1145" w:hanging="357"/>
      </w:pPr>
      <w:r w:rsidRPr="008C29BB">
        <w:lastRenderedPageBreak/>
        <w:t>Health &amp; safety</w:t>
      </w:r>
    </w:p>
    <w:p w:rsidR="006C7DB4" w:rsidRPr="008C29BB" w:rsidRDefault="006C7DB4" w:rsidP="006C7DB4">
      <w:pPr>
        <w:pStyle w:val="ListParagraph"/>
        <w:numPr>
          <w:ilvl w:val="0"/>
          <w:numId w:val="48"/>
        </w:numPr>
        <w:spacing w:after="0"/>
        <w:ind w:left="1145" w:hanging="357"/>
      </w:pPr>
      <w:r w:rsidRPr="008C29BB">
        <w:t>TUPE of staff</w:t>
      </w:r>
      <w:r w:rsidR="00A41590">
        <w:t xml:space="preserve"> (if appropr</w:t>
      </w:r>
      <w:r w:rsidR="00F76F0D">
        <w:t>iate)</w:t>
      </w:r>
    </w:p>
    <w:p w:rsidR="00FB308A" w:rsidRPr="008C29BB" w:rsidRDefault="00FB308A" w:rsidP="006C7DB4">
      <w:pPr>
        <w:pStyle w:val="ListParagraph"/>
        <w:numPr>
          <w:ilvl w:val="0"/>
          <w:numId w:val="48"/>
        </w:numPr>
        <w:spacing w:after="0"/>
        <w:ind w:left="1145" w:hanging="357"/>
      </w:pPr>
      <w:r w:rsidRPr="008C29BB">
        <w:t>Pensions</w:t>
      </w:r>
    </w:p>
    <w:p w:rsidR="006C7DB4" w:rsidRPr="008C29BB" w:rsidRDefault="006C7DB4" w:rsidP="006C7DB4">
      <w:pPr>
        <w:pStyle w:val="ListParagraph"/>
        <w:numPr>
          <w:ilvl w:val="0"/>
          <w:numId w:val="48"/>
        </w:numPr>
        <w:spacing w:after="0"/>
        <w:ind w:left="1145" w:hanging="357"/>
      </w:pPr>
      <w:r w:rsidRPr="008C29BB">
        <w:t>Support service provision, contracts and charges</w:t>
      </w:r>
    </w:p>
    <w:p w:rsidR="006C7DB4" w:rsidRPr="008C29BB" w:rsidRDefault="006C7DB4" w:rsidP="006C7DB4">
      <w:pPr>
        <w:pStyle w:val="ListParagraph"/>
        <w:numPr>
          <w:ilvl w:val="0"/>
          <w:numId w:val="48"/>
        </w:numPr>
        <w:spacing w:after="0"/>
        <w:ind w:left="1145" w:hanging="357"/>
      </w:pPr>
      <w:r w:rsidRPr="008C29BB">
        <w:t>Procurement</w:t>
      </w:r>
    </w:p>
    <w:p w:rsidR="006C7DB4" w:rsidRPr="008C29BB" w:rsidRDefault="006C7DB4" w:rsidP="006C7DB4">
      <w:pPr>
        <w:pStyle w:val="ListParagraph"/>
        <w:numPr>
          <w:ilvl w:val="0"/>
          <w:numId w:val="48"/>
        </w:numPr>
        <w:spacing w:after="0"/>
        <w:ind w:left="1145" w:hanging="357"/>
      </w:pPr>
      <w:r w:rsidRPr="008C29BB">
        <w:t>ICT</w:t>
      </w:r>
    </w:p>
    <w:p w:rsidR="00675A0A" w:rsidRPr="008C29BB" w:rsidRDefault="00675A0A" w:rsidP="006C7DB4">
      <w:pPr>
        <w:pStyle w:val="ListParagraph"/>
        <w:numPr>
          <w:ilvl w:val="0"/>
          <w:numId w:val="48"/>
        </w:numPr>
        <w:spacing w:after="0"/>
        <w:ind w:left="1145" w:hanging="357"/>
      </w:pPr>
      <w:r w:rsidRPr="008C29BB">
        <w:t>Any interim arrangements prior to full implementation</w:t>
      </w:r>
      <w:r w:rsidR="00FB308A" w:rsidRPr="008C29BB">
        <w:t xml:space="preserve"> e.g. loans for working capital, </w:t>
      </w:r>
    </w:p>
    <w:p w:rsidR="006C7DB4" w:rsidRPr="008C29BB" w:rsidRDefault="006C7DB4" w:rsidP="006C7DB4">
      <w:pPr>
        <w:pStyle w:val="ListParagraph"/>
        <w:numPr>
          <w:ilvl w:val="0"/>
          <w:numId w:val="48"/>
        </w:numPr>
        <w:spacing w:after="0"/>
        <w:ind w:left="1145" w:hanging="357"/>
      </w:pPr>
      <w:r w:rsidRPr="008C29BB">
        <w:t>Employee relations</w:t>
      </w:r>
    </w:p>
    <w:p w:rsidR="006C7DB4" w:rsidRPr="008C29BB" w:rsidRDefault="006C7DB4" w:rsidP="006C7DB4">
      <w:pPr>
        <w:pStyle w:val="ListParagraph"/>
        <w:numPr>
          <w:ilvl w:val="0"/>
          <w:numId w:val="48"/>
        </w:numPr>
        <w:spacing w:after="0"/>
        <w:ind w:left="1145" w:hanging="357"/>
      </w:pPr>
      <w:r w:rsidRPr="008C29BB">
        <w:t>Communication</w:t>
      </w:r>
    </w:p>
    <w:p w:rsidR="006C7DB4" w:rsidRPr="008C29BB" w:rsidRDefault="006C7DB4" w:rsidP="006C7DB4">
      <w:pPr>
        <w:pStyle w:val="ListParagraph"/>
        <w:numPr>
          <w:ilvl w:val="0"/>
          <w:numId w:val="0"/>
        </w:numPr>
        <w:spacing w:after="0"/>
        <w:ind w:left="1145"/>
      </w:pPr>
    </w:p>
    <w:p w:rsidR="006C7DB4" w:rsidRPr="008C29BB" w:rsidRDefault="006C7DB4" w:rsidP="006C7DB4">
      <w:pPr>
        <w:pStyle w:val="ListParagraph"/>
      </w:pPr>
      <w:r w:rsidRPr="008C29BB">
        <w:t>The implementation plan will also guide the realisation of benefits set out in the PID and include an evaluation of implementation</w:t>
      </w:r>
      <w:r w:rsidR="00F2061B" w:rsidRPr="008C29BB">
        <w:t>.</w:t>
      </w:r>
    </w:p>
    <w:p w:rsidR="00E87F7A" w:rsidRPr="008C29BB" w:rsidRDefault="00E87F7A" w:rsidP="00E87F7A">
      <w:pPr>
        <w:spacing w:before="240"/>
        <w:outlineLvl w:val="0"/>
        <w:rPr>
          <w:b/>
        </w:rPr>
      </w:pPr>
      <w:r w:rsidRPr="008C29BB">
        <w:rPr>
          <w:b/>
        </w:rPr>
        <w:t xml:space="preserve">Other implications </w:t>
      </w:r>
    </w:p>
    <w:p w:rsidR="00931B77" w:rsidRPr="008C29BB" w:rsidRDefault="00931B77" w:rsidP="00931B77">
      <w:pPr>
        <w:pStyle w:val="ListParagraph"/>
      </w:pPr>
      <w:r w:rsidRPr="008C29BB">
        <w:t xml:space="preserve">The company will be required to formally recognise the existing trade unions Unison and Unite the Union in the same way the Council does. Trade union colleagues will have the opportunity to work with officers on the implementation plan, </w:t>
      </w:r>
      <w:r w:rsidR="00A41590">
        <w:t xml:space="preserve">including the management of any </w:t>
      </w:r>
      <w:r w:rsidRPr="008C29BB">
        <w:t xml:space="preserve">TUPE arrangements. </w:t>
      </w:r>
    </w:p>
    <w:p w:rsidR="006C7DB4" w:rsidRPr="008C29BB" w:rsidRDefault="006C7DB4" w:rsidP="006C7DB4">
      <w:pPr>
        <w:pStyle w:val="ListParagraph"/>
      </w:pPr>
      <w:r w:rsidRPr="008C29BB">
        <w:t>Management and trade union colleagues continue to meet</w:t>
      </w:r>
      <w:r w:rsidR="00BC1316" w:rsidRPr="008C29BB">
        <w:t xml:space="preserve"> regarding this matter </w:t>
      </w:r>
      <w:r w:rsidR="00F76F0D">
        <w:t>(</w:t>
      </w:r>
      <w:r w:rsidR="00BC1316" w:rsidRPr="008C29BB">
        <w:t>noting that it is subject to Member approval</w:t>
      </w:r>
      <w:r w:rsidR="00F76F0D">
        <w:t>)</w:t>
      </w:r>
      <w:r w:rsidR="00BC1316" w:rsidRPr="008C29BB">
        <w:t>. T</w:t>
      </w:r>
      <w:r w:rsidRPr="008C29BB">
        <w:t xml:space="preserve">rade unions </w:t>
      </w:r>
      <w:r w:rsidR="00BC1316" w:rsidRPr="008C29BB">
        <w:t xml:space="preserve">are </w:t>
      </w:r>
      <w:r w:rsidRPr="008C29BB">
        <w:t xml:space="preserve">supportive of the proposals and keen to play into the finer </w:t>
      </w:r>
      <w:r w:rsidR="0024375B" w:rsidRPr="008C29BB">
        <w:t xml:space="preserve">details. </w:t>
      </w:r>
      <w:r w:rsidR="00F76F0D">
        <w:t xml:space="preserve">They have some concerns, principally </w:t>
      </w:r>
      <w:r w:rsidR="0024375B" w:rsidRPr="008C29BB">
        <w:t>around continuing job security and terms and conditions of employment (and in particular the desire to continue as member</w:t>
      </w:r>
      <w:r w:rsidR="007B466F" w:rsidRPr="008C29BB">
        <w:t>s</w:t>
      </w:r>
      <w:r w:rsidR="0024375B" w:rsidRPr="008C29BB">
        <w:t xml:space="preserve"> of the Local Go</w:t>
      </w:r>
      <w:r w:rsidR="00BC1316" w:rsidRPr="008C29BB">
        <w:t>vernment Pension Scheme). M</w:t>
      </w:r>
      <w:r w:rsidR="0024375B" w:rsidRPr="008C29BB">
        <w:t>eeting</w:t>
      </w:r>
      <w:r w:rsidR="00BC1316" w:rsidRPr="008C29BB">
        <w:t>s with all</w:t>
      </w:r>
      <w:r w:rsidR="0024375B" w:rsidRPr="008C29BB">
        <w:t xml:space="preserve"> staff in Direct Services </w:t>
      </w:r>
      <w:r w:rsidR="00BC1316" w:rsidRPr="008C29BB">
        <w:t>have commenced to</w:t>
      </w:r>
      <w:r w:rsidR="0024375B" w:rsidRPr="008C29BB">
        <w:t xml:space="preserve"> reassure them that </w:t>
      </w:r>
      <w:r w:rsidR="00BC1316" w:rsidRPr="008C29BB">
        <w:t xml:space="preserve">if the proposal goes forward, </w:t>
      </w:r>
      <w:r w:rsidR="0024375B" w:rsidRPr="008C29BB">
        <w:t>terms and conditions will be protected for current Direct Services staff</w:t>
      </w:r>
      <w:r w:rsidR="00CC6FAE">
        <w:t xml:space="preserve"> including the components of the new pay deal (when agreed)</w:t>
      </w:r>
      <w:r w:rsidR="0024375B" w:rsidRPr="008C29BB">
        <w:t xml:space="preserve"> and their continued access to the LGPS will be assured. We will also discuss</w:t>
      </w:r>
      <w:r w:rsidR="00F76F0D">
        <w:t xml:space="preserve"> with them </w:t>
      </w:r>
      <w:r w:rsidR="0024375B" w:rsidRPr="008C29BB">
        <w:t xml:space="preserve">how this proposal potentially increases job security and creates further employment opportunities as it enables growth whereas the current arrangements do not.  </w:t>
      </w:r>
    </w:p>
    <w:p w:rsidR="002D21D0" w:rsidRPr="008C29BB" w:rsidRDefault="006C7DB4" w:rsidP="002D21D0">
      <w:pPr>
        <w:pStyle w:val="ListParagraph"/>
      </w:pPr>
      <w:r w:rsidRPr="008C29BB">
        <w:t>The good management of Health &amp; Safety is a priority for Direct Services with risk not only to individuals but the business as a whole if it is not managed effectively. This approach will con</w:t>
      </w:r>
      <w:r w:rsidR="00F2061B" w:rsidRPr="008C29BB">
        <w:t>tinue as part of the local authority trading</w:t>
      </w:r>
      <w:r w:rsidRPr="008C29BB">
        <w:t xml:space="preserve"> company and the aim will be an exemplar in good practice.</w:t>
      </w:r>
    </w:p>
    <w:p w:rsidR="002D21D0" w:rsidRPr="008C29BB" w:rsidRDefault="002D21D0" w:rsidP="002D21D0">
      <w:pPr>
        <w:rPr>
          <w:b/>
        </w:rPr>
      </w:pPr>
    </w:p>
    <w:p w:rsidR="002D21D0" w:rsidRPr="008C29BB" w:rsidRDefault="002D21D0" w:rsidP="002D21D0">
      <w:pPr>
        <w:rPr>
          <w:b/>
        </w:rPr>
      </w:pPr>
      <w:r w:rsidRPr="008C29BB">
        <w:rPr>
          <w:b/>
        </w:rPr>
        <w:t>Financial implications</w:t>
      </w:r>
    </w:p>
    <w:p w:rsidR="007D546B" w:rsidRDefault="00F64610" w:rsidP="008C29BB">
      <w:pPr>
        <w:pStyle w:val="ListParagraph"/>
      </w:pPr>
      <w:r w:rsidRPr="008C29BB">
        <w:t>The Council</w:t>
      </w:r>
      <w:r w:rsidR="009C06E2">
        <w:t>’</w:t>
      </w:r>
      <w:r w:rsidRPr="008C29BB">
        <w:t xml:space="preserve">s Medium Term Financial Plan requires an increase in turnover for Oxford Direct Services of </w:t>
      </w:r>
      <w:r w:rsidR="006D37B4">
        <w:t>£2m over the</w:t>
      </w:r>
      <w:r w:rsidRPr="008C29BB">
        <w:t xml:space="preserve"> next four years ending 2020/21 to ensure that the Council </w:t>
      </w:r>
      <w:r w:rsidR="009C06E2">
        <w:t xml:space="preserve">can continue to </w:t>
      </w:r>
      <w:r w:rsidRPr="008C29BB">
        <w:t>balance</w:t>
      </w:r>
      <w:r w:rsidR="009C06E2">
        <w:t xml:space="preserve"> its</w:t>
      </w:r>
      <w:r w:rsidRPr="008C29BB">
        <w:t xml:space="preserve"> budget </w:t>
      </w:r>
      <w:r w:rsidR="009C06E2">
        <w:t>and deliver vital services</w:t>
      </w:r>
      <w:r w:rsidR="002C1073">
        <w:t xml:space="preserve"> within the City</w:t>
      </w:r>
      <w:r w:rsidRPr="008C29BB">
        <w:t xml:space="preserve">. </w:t>
      </w:r>
      <w:r w:rsidR="007D546B" w:rsidRPr="008C29BB">
        <w:t>Establishing a wholly owned company w</w:t>
      </w:r>
      <w:r w:rsidR="007D546B">
        <w:t xml:space="preserve">ill facilitate delivery of the Council’s trading ambition and Medium Term Financial </w:t>
      </w:r>
      <w:r w:rsidR="00DA4D4B">
        <w:t>Plan</w:t>
      </w:r>
      <w:r w:rsidR="00BC55B1">
        <w:t xml:space="preserve"> </w:t>
      </w:r>
      <w:r w:rsidR="007D546B">
        <w:t>going forward</w:t>
      </w:r>
      <w:r w:rsidR="00BC55B1">
        <w:t>,</w:t>
      </w:r>
      <w:r w:rsidR="007D546B">
        <w:t xml:space="preserve"> allow</w:t>
      </w:r>
      <w:r w:rsidR="00BC55B1">
        <w:t>ing</w:t>
      </w:r>
      <w:r w:rsidR="007D546B">
        <w:t xml:space="preserve"> the Council to expand these activities within the legal framework. </w:t>
      </w:r>
      <w:r w:rsidR="007D546B" w:rsidRPr="008C29BB">
        <w:t>Should the Council have to retra</w:t>
      </w:r>
      <w:r w:rsidR="007D546B">
        <w:t>ct from this planned increase</w:t>
      </w:r>
      <w:r w:rsidR="007D546B" w:rsidRPr="008C29BB">
        <w:t xml:space="preserve">, </w:t>
      </w:r>
      <w:proofErr w:type="gramStart"/>
      <w:r w:rsidR="007D546B" w:rsidRPr="008C29BB">
        <w:t>then</w:t>
      </w:r>
      <w:proofErr w:type="gramEnd"/>
      <w:r w:rsidR="007D546B" w:rsidRPr="008C29BB">
        <w:t xml:space="preserve"> other savings would need to be found to balance the budget or services cut accordingly.</w:t>
      </w:r>
    </w:p>
    <w:p w:rsidR="00D04FE4" w:rsidRDefault="00D04FE4" w:rsidP="00D04FE4"/>
    <w:p w:rsidR="00F64610" w:rsidRPr="008C29BB" w:rsidRDefault="00F64610" w:rsidP="008C29BB">
      <w:pPr>
        <w:pStyle w:val="ListParagraph"/>
      </w:pPr>
      <w:r w:rsidRPr="008C29BB">
        <w:lastRenderedPageBreak/>
        <w:t xml:space="preserve"> The Council has sought external advice from Gran</w:t>
      </w:r>
      <w:r w:rsidR="00CB00F0">
        <w:t>t Thornton and Trowers and Hamli</w:t>
      </w:r>
      <w:r w:rsidRPr="008C29BB">
        <w:t xml:space="preserve">ns. Early financial analysis would indicate that the Company structure could be financially beneficial to the Council although there is a significant amount of work to be undertaken to complete the project. Obtaining member approval to establish a company </w:t>
      </w:r>
      <w:r w:rsidR="007D546B">
        <w:t>(noting the further work to be done to  prove the</w:t>
      </w:r>
      <w:r w:rsidRPr="008C29BB">
        <w:t xml:space="preserve"> financial viability</w:t>
      </w:r>
      <w:r w:rsidR="007D546B">
        <w:t>)</w:t>
      </w:r>
      <w:r w:rsidRPr="008C29BB">
        <w:t xml:space="preserve"> would allow Council officers to move forward with the project and once appropriate financial management is in place commence trading.         </w:t>
      </w:r>
    </w:p>
    <w:p w:rsidR="00443730" w:rsidRPr="008C29BB" w:rsidRDefault="00DA614B" w:rsidP="00443730">
      <w:pPr>
        <w:pStyle w:val="Heading1"/>
      </w:pPr>
      <w:r w:rsidRPr="008C29BB">
        <w:t>Legal issues</w:t>
      </w:r>
    </w:p>
    <w:p w:rsidR="0039667D" w:rsidRPr="008C29BB" w:rsidRDefault="0039667D" w:rsidP="0039667D">
      <w:pPr>
        <w:pStyle w:val="ListParagraph"/>
      </w:pPr>
      <w:r>
        <w:t>A local authority is able, under the Local Government Act 2003 and the Localism Act 2011, to establish a wholly-owned company or companies to carry out trading activities. These companies can “trade” with their parent authority, i.e. they can sell services back to their parent authority (for example they can be contracted to supply the services to residents traditionally provided by the Council itself), and with external customers.  A local authority is, of course, able to carry out  certain “trading” activities with third parties in its own right, but some limitations apply to activities of this nature, and so to facilitate significant growth of such external trading activities, local authorities are increasingly looking to establish their own trading entities.  Further analysis of the legal position of authorities wishing to carry out external trading is set out</w:t>
      </w:r>
      <w:r w:rsidR="00903100">
        <w:t xml:space="preserve"> in the </w:t>
      </w:r>
      <w:r w:rsidR="0064642D">
        <w:t>exempt</w:t>
      </w:r>
      <w:r w:rsidR="00903100">
        <w:t xml:space="preserve"> legal a</w:t>
      </w:r>
      <w:r w:rsidR="0064642D">
        <w:t>ppendix</w:t>
      </w:r>
      <w:r w:rsidR="00903100">
        <w:t xml:space="preserve"> (appendix 1)</w:t>
      </w:r>
      <w:r>
        <w:t xml:space="preserve"> attached to this report.</w:t>
      </w:r>
    </w:p>
    <w:p w:rsidR="002329CF" w:rsidRPr="008C29BB" w:rsidRDefault="002329CF" w:rsidP="004A6D2F">
      <w:pPr>
        <w:pStyle w:val="Heading1"/>
      </w:pPr>
      <w:r w:rsidRPr="008C29BB">
        <w:t>Level of risk</w:t>
      </w:r>
    </w:p>
    <w:p w:rsidR="00BC69A4" w:rsidRPr="008C29BB" w:rsidRDefault="00814F38" w:rsidP="00675A0A">
      <w:pPr>
        <w:pStyle w:val="ListParagraph"/>
      </w:pPr>
      <w:r w:rsidRPr="008C29BB">
        <w:t xml:space="preserve">A </w:t>
      </w:r>
      <w:r w:rsidR="00151888" w:rsidRPr="008C29BB">
        <w:t>R</w:t>
      </w:r>
      <w:r w:rsidR="002329CF" w:rsidRPr="008C29BB">
        <w:t xml:space="preserve">isk </w:t>
      </w:r>
      <w:r w:rsidR="00151888" w:rsidRPr="008C29BB">
        <w:t>R</w:t>
      </w:r>
      <w:r w:rsidR="0093067A" w:rsidRPr="008C29BB">
        <w:t>egister</w:t>
      </w:r>
      <w:r w:rsidR="002329CF" w:rsidRPr="008C29BB">
        <w:t xml:space="preserve"> </w:t>
      </w:r>
      <w:r w:rsidRPr="008C29BB">
        <w:t xml:space="preserve">is attached at </w:t>
      </w:r>
      <w:r w:rsidR="002329CF" w:rsidRPr="008C29BB">
        <w:t>appendix</w:t>
      </w:r>
      <w:r w:rsidR="000F119F" w:rsidRPr="008C29BB">
        <w:t xml:space="preserve"> 2</w:t>
      </w:r>
      <w:r w:rsidR="002329CF" w:rsidRPr="008C29BB">
        <w:t xml:space="preserve">. </w:t>
      </w:r>
    </w:p>
    <w:p w:rsidR="002329CF" w:rsidRPr="008C29BB" w:rsidRDefault="002329CF" w:rsidP="0050321C">
      <w:pPr>
        <w:pStyle w:val="Heading1"/>
      </w:pPr>
      <w:r w:rsidRPr="008C29BB">
        <w:t xml:space="preserve">Equalities impact </w:t>
      </w:r>
    </w:p>
    <w:p w:rsidR="002329CF" w:rsidRPr="008C29BB" w:rsidRDefault="00814F38" w:rsidP="00675A0A">
      <w:pPr>
        <w:pStyle w:val="ListParagraph"/>
      </w:pPr>
      <w:r w:rsidRPr="008C29BB">
        <w:t xml:space="preserve">An </w:t>
      </w:r>
      <w:r w:rsidR="0093067A" w:rsidRPr="008C29BB">
        <w:t>Equalities Impact Assessment</w:t>
      </w:r>
      <w:r w:rsidR="002329CF" w:rsidRPr="008C29BB">
        <w:t xml:space="preserve"> </w:t>
      </w:r>
      <w:r w:rsidR="000F119F" w:rsidRPr="008C29BB">
        <w:t>is attached at appendix 3</w:t>
      </w:r>
      <w:r w:rsidR="002329CF" w:rsidRPr="008C29BB">
        <w:t>.</w:t>
      </w:r>
      <w:r w:rsidR="0093067A" w:rsidRPr="008C29BB">
        <w:t xml:space="preserve"> </w:t>
      </w:r>
    </w:p>
    <w:p w:rsidR="002329CF" w:rsidRPr="008C29BB"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8C29BB"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8C29BB" w:rsidRDefault="00E87F7A" w:rsidP="00A46E98">
            <w:pPr>
              <w:rPr>
                <w:b/>
              </w:rPr>
            </w:pPr>
            <w:r w:rsidRPr="008C29BB">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8C29BB" w:rsidRDefault="00DF0B34" w:rsidP="00A46E98">
            <w:r w:rsidRPr="008C29BB">
              <w:t>Simon Howick</w:t>
            </w:r>
          </w:p>
        </w:tc>
      </w:tr>
      <w:tr w:rsidR="00DF093E" w:rsidRPr="008C29BB"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8C29BB" w:rsidRDefault="00E87F7A" w:rsidP="00A46E98">
            <w:r w:rsidRPr="008C29BB">
              <w:t>Job title</w:t>
            </w:r>
          </w:p>
        </w:tc>
        <w:tc>
          <w:tcPr>
            <w:tcW w:w="4962" w:type="dxa"/>
            <w:tcBorders>
              <w:top w:val="single" w:sz="8" w:space="0" w:color="000000"/>
              <w:left w:val="nil"/>
              <w:bottom w:val="nil"/>
              <w:right w:val="single" w:sz="8" w:space="0" w:color="000000"/>
            </w:tcBorders>
            <w:shd w:val="clear" w:color="auto" w:fill="auto"/>
          </w:tcPr>
          <w:p w:rsidR="00E87F7A" w:rsidRPr="008C29BB" w:rsidRDefault="00DF0B34" w:rsidP="00A46E98">
            <w:r w:rsidRPr="008C29BB">
              <w:t>Service Transformation Manager</w:t>
            </w:r>
          </w:p>
        </w:tc>
      </w:tr>
      <w:tr w:rsidR="00DF093E" w:rsidRPr="008C29BB" w:rsidTr="00A46E98">
        <w:trPr>
          <w:cantSplit/>
          <w:trHeight w:val="396"/>
        </w:trPr>
        <w:tc>
          <w:tcPr>
            <w:tcW w:w="3969" w:type="dxa"/>
            <w:tcBorders>
              <w:top w:val="nil"/>
              <w:left w:val="single" w:sz="8" w:space="0" w:color="000000"/>
              <w:bottom w:val="nil"/>
              <w:right w:val="nil"/>
            </w:tcBorders>
            <w:shd w:val="clear" w:color="auto" w:fill="auto"/>
          </w:tcPr>
          <w:p w:rsidR="00E87F7A" w:rsidRPr="008C29BB" w:rsidRDefault="00E87F7A" w:rsidP="00A46E98">
            <w:r w:rsidRPr="008C29BB">
              <w:t>Service area or department</w:t>
            </w:r>
          </w:p>
        </w:tc>
        <w:tc>
          <w:tcPr>
            <w:tcW w:w="4962" w:type="dxa"/>
            <w:tcBorders>
              <w:top w:val="nil"/>
              <w:left w:val="nil"/>
              <w:bottom w:val="nil"/>
              <w:right w:val="single" w:sz="8" w:space="0" w:color="000000"/>
            </w:tcBorders>
            <w:shd w:val="clear" w:color="auto" w:fill="auto"/>
          </w:tcPr>
          <w:p w:rsidR="00E87F7A" w:rsidRPr="008C29BB" w:rsidRDefault="00DF0B34" w:rsidP="00A46E98">
            <w:r w:rsidRPr="008C29BB">
              <w:t>Direct Services</w:t>
            </w:r>
          </w:p>
        </w:tc>
      </w:tr>
      <w:tr w:rsidR="00DF093E" w:rsidRPr="008C29BB" w:rsidTr="00A46E98">
        <w:trPr>
          <w:cantSplit/>
          <w:trHeight w:val="396"/>
        </w:trPr>
        <w:tc>
          <w:tcPr>
            <w:tcW w:w="3969" w:type="dxa"/>
            <w:tcBorders>
              <w:top w:val="nil"/>
              <w:left w:val="single" w:sz="8" w:space="0" w:color="000000"/>
              <w:bottom w:val="nil"/>
              <w:right w:val="nil"/>
            </w:tcBorders>
            <w:shd w:val="clear" w:color="auto" w:fill="auto"/>
          </w:tcPr>
          <w:p w:rsidR="00E87F7A" w:rsidRPr="008C29BB" w:rsidRDefault="00E87F7A" w:rsidP="00A46E98">
            <w:r w:rsidRPr="008C29BB">
              <w:t xml:space="preserve">Telephone </w:t>
            </w:r>
          </w:p>
        </w:tc>
        <w:tc>
          <w:tcPr>
            <w:tcW w:w="4962" w:type="dxa"/>
            <w:tcBorders>
              <w:top w:val="nil"/>
              <w:left w:val="nil"/>
              <w:bottom w:val="nil"/>
              <w:right w:val="single" w:sz="8" w:space="0" w:color="000000"/>
            </w:tcBorders>
            <w:shd w:val="clear" w:color="auto" w:fill="auto"/>
          </w:tcPr>
          <w:p w:rsidR="00E87F7A" w:rsidRPr="008C29BB" w:rsidRDefault="00DF0B34" w:rsidP="00A46E98">
            <w:r w:rsidRPr="008C29BB">
              <w:t>01865 252547</w:t>
            </w:r>
            <w:r w:rsidR="00E87F7A" w:rsidRPr="008C29BB">
              <w:t xml:space="preserve">  </w:t>
            </w:r>
          </w:p>
        </w:tc>
      </w:tr>
      <w:tr w:rsidR="005570B5" w:rsidRPr="008C29BB"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8C29BB" w:rsidRDefault="00E87F7A" w:rsidP="00A46E98">
            <w:r w:rsidRPr="008C29BB">
              <w:t xml:space="preserve">e-mail </w:t>
            </w:r>
          </w:p>
        </w:tc>
        <w:tc>
          <w:tcPr>
            <w:tcW w:w="4962" w:type="dxa"/>
            <w:tcBorders>
              <w:top w:val="nil"/>
              <w:left w:val="nil"/>
              <w:bottom w:val="single" w:sz="8" w:space="0" w:color="000000"/>
              <w:right w:val="single" w:sz="8" w:space="0" w:color="000000"/>
            </w:tcBorders>
            <w:shd w:val="clear" w:color="auto" w:fill="auto"/>
          </w:tcPr>
          <w:p w:rsidR="00E87F7A" w:rsidRPr="008C29BB" w:rsidRDefault="00DF0B34" w:rsidP="00A46E98">
            <w:pPr>
              <w:rPr>
                <w:rStyle w:val="Hyperlink"/>
                <w:color w:val="000000"/>
              </w:rPr>
            </w:pPr>
            <w:r w:rsidRPr="008C29BB">
              <w:rPr>
                <w:rStyle w:val="Hyperlink"/>
                <w:color w:val="000000"/>
              </w:rPr>
              <w:t>showick@oxford.gov.uk</w:t>
            </w:r>
          </w:p>
        </w:tc>
      </w:tr>
    </w:tbl>
    <w:p w:rsidR="00433B96" w:rsidRPr="008C29BB"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8C29BB"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8C29BB" w:rsidRDefault="00182B81" w:rsidP="00F41AC1">
            <w:r w:rsidRPr="008C29BB">
              <w:rPr>
                <w:rStyle w:val="Firstpagetablebold"/>
              </w:rPr>
              <w:t xml:space="preserve">Background Papers: </w:t>
            </w:r>
            <w:r w:rsidRPr="008C29BB">
              <w:rPr>
                <w:rStyle w:val="Firstpagetablebold"/>
                <w:b w:val="0"/>
              </w:rPr>
              <w:t>None</w:t>
            </w:r>
          </w:p>
        </w:tc>
      </w:tr>
    </w:tbl>
    <w:p w:rsidR="00CE4C87" w:rsidRPr="008C29BB" w:rsidRDefault="00CE4C87" w:rsidP="0093067A">
      <w:bookmarkStart w:id="0" w:name="_GoBack"/>
      <w:bookmarkEnd w:id="0"/>
    </w:p>
    <w:sectPr w:rsidR="00CE4C87" w:rsidRPr="008C29BB" w:rsidSect="00BC200B">
      <w:footerReference w:type="even" r:id="rId11"/>
      <w:headerReference w:type="first" r:id="rId12"/>
      <w:footerReference w:type="first" r:id="rId13"/>
      <w:pgSz w:w="11906" w:h="16838" w:code="9"/>
      <w:pgMar w:top="1418" w:right="1304" w:bottom="1304" w:left="1304" w:header="1134" w:footer="68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2541156" w15:done="0"/>
  <w15:commentEx w15:paraId="5E29DCAB" w15:done="0"/>
  <w15:commentEx w15:paraId="07037074" w15:done="0"/>
  <w15:commentEx w15:paraId="29FDCDEF" w15:done="0"/>
  <w15:commentEx w15:paraId="08D221B8" w15:done="0"/>
  <w15:commentEx w15:paraId="006445CC" w15:done="0"/>
  <w15:commentEx w15:paraId="21D64E32" w15:done="0"/>
  <w15:commentEx w15:paraId="358298A7" w15:done="0"/>
  <w15:commentEx w15:paraId="6E270147" w15:done="0"/>
  <w15:commentEx w15:paraId="6968ECF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A6C" w:rsidRDefault="00925A6C" w:rsidP="004A6D2F">
      <w:r>
        <w:separator/>
      </w:r>
    </w:p>
  </w:endnote>
  <w:endnote w:type="continuationSeparator" w:id="0">
    <w:p w:rsidR="00925A6C" w:rsidRDefault="00925A6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A31" w:rsidRDefault="00857A31" w:rsidP="004A6D2F">
    <w:pPr>
      <w:pStyle w:val="Footer"/>
    </w:pPr>
    <w:r>
      <w:t>Do not use a footer or page numbers.</w:t>
    </w:r>
  </w:p>
  <w:p w:rsidR="00857A31" w:rsidRDefault="00857A31" w:rsidP="004A6D2F">
    <w:pPr>
      <w:pStyle w:val="Footer"/>
    </w:pPr>
  </w:p>
  <w:p w:rsidR="00857A31" w:rsidRDefault="00857A31"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A31" w:rsidRDefault="00857A31"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A6C" w:rsidRDefault="00925A6C" w:rsidP="004A6D2F">
      <w:r>
        <w:separator/>
      </w:r>
    </w:p>
  </w:footnote>
  <w:footnote w:type="continuationSeparator" w:id="0">
    <w:p w:rsidR="00925A6C" w:rsidRDefault="00925A6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A31" w:rsidRDefault="00857A31" w:rsidP="00D5547E">
    <w:pPr>
      <w:pStyle w:val="Header"/>
      <w:jc w:val="right"/>
    </w:pPr>
    <w:r>
      <w:rPr>
        <w:noProof/>
      </w:rPr>
      <w:drawing>
        <wp:inline distT="0" distB="0" distL="0" distR="0" wp14:anchorId="0E61A43F" wp14:editId="52E6CA92">
          <wp:extent cx="838200" cy="1120140"/>
          <wp:effectExtent l="0" t="0" r="0" b="0"/>
          <wp:docPr id="3"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201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C815525"/>
    <w:multiLevelType w:val="hybridMultilevel"/>
    <w:tmpl w:val="5E30AE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10123799"/>
    <w:multiLevelType w:val="hybridMultilevel"/>
    <w:tmpl w:val="2F8A1F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121558BF"/>
    <w:multiLevelType w:val="hybridMultilevel"/>
    <w:tmpl w:val="CC86B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EA73082"/>
    <w:multiLevelType w:val="hybridMultilevel"/>
    <w:tmpl w:val="995492C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22263A6A"/>
    <w:multiLevelType w:val="multilevel"/>
    <w:tmpl w:val="43D6D2FA"/>
    <w:numStyleLink w:val="StyleBulletedSymbolsymbolLeft063cmHanging063cm"/>
  </w:abstractNum>
  <w:abstractNum w:abstractNumId="22">
    <w:nsid w:val="2B521951"/>
    <w:multiLevelType w:val="hybridMultilevel"/>
    <w:tmpl w:val="EC86770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EC322AA"/>
    <w:multiLevelType w:val="hybridMultilevel"/>
    <w:tmpl w:val="F552FED0"/>
    <w:lvl w:ilvl="0" w:tplc="577EFB44">
      <w:start w:val="5"/>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15E15C2"/>
    <w:multiLevelType w:val="hybridMultilevel"/>
    <w:tmpl w:val="AA74A3C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nsid w:val="39873D06"/>
    <w:multiLevelType w:val="hybridMultilevel"/>
    <w:tmpl w:val="B19A0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CA01908"/>
    <w:multiLevelType w:val="hybridMultilevel"/>
    <w:tmpl w:val="F8988F5A"/>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41B21624"/>
    <w:multiLevelType w:val="hybridMultilevel"/>
    <w:tmpl w:val="6D360E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5225B32"/>
    <w:multiLevelType w:val="hybridMultilevel"/>
    <w:tmpl w:val="89027A4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3">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464F0EF2"/>
    <w:multiLevelType w:val="hybridMultilevel"/>
    <w:tmpl w:val="726E7822"/>
    <w:lvl w:ilvl="0" w:tplc="A05670F2">
      <w:start w:val="1"/>
      <w:numFmt w:val="decimal"/>
      <w:lvlText w:val="%1."/>
      <w:lvlJc w:val="left"/>
      <w:pPr>
        <w:ind w:left="393" w:hanging="360"/>
      </w:pPr>
      <w:rPr>
        <w:rFonts w:ascii="ArialMT" w:hAnsi="ArialMT" w:cs="ArialMT" w:hint="default"/>
        <w:color w:val="auto"/>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35">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4C8718B0"/>
    <w:multiLevelType w:val="hybridMultilevel"/>
    <w:tmpl w:val="8DF8E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4B14EE0"/>
    <w:multiLevelType w:val="hybridMultilevel"/>
    <w:tmpl w:val="49F6EB94"/>
    <w:lvl w:ilvl="0" w:tplc="BA7A507E">
      <w:start w:val="1"/>
      <w:numFmt w:val="decimal"/>
      <w:lvlText w:val="%1."/>
      <w:lvlJc w:val="left"/>
      <w:pPr>
        <w:ind w:left="720" w:hanging="360"/>
      </w:pPr>
      <w:rPr>
        <w:rFonts w:ascii="ArialMT" w:hAnsi="ArialMT" w:cs="ArialMT"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568574FC"/>
    <w:multiLevelType w:val="hybridMultilevel"/>
    <w:tmpl w:val="1AF48C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573C608B"/>
    <w:multiLevelType w:val="hybridMultilevel"/>
    <w:tmpl w:val="174400C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2">
    <w:nsid w:val="5ABA5FD8"/>
    <w:multiLevelType w:val="multilevel"/>
    <w:tmpl w:val="43D6D2FA"/>
    <w:numStyleLink w:val="StyleBulletedSymbolsymbolLeft063cmHanging063cm"/>
  </w:abstractNum>
  <w:abstractNum w:abstractNumId="43">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2A22831"/>
    <w:multiLevelType w:val="multilevel"/>
    <w:tmpl w:val="43D6D2FA"/>
    <w:numStyleLink w:val="StyleBulletedSymbolsymbolLeft063cmHanging063cm"/>
  </w:abstractNum>
  <w:abstractNum w:abstractNumId="45">
    <w:nsid w:val="650C4CCC"/>
    <w:multiLevelType w:val="multilevel"/>
    <w:tmpl w:val="EA94AD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B265750"/>
    <w:multiLevelType w:val="hybridMultilevel"/>
    <w:tmpl w:val="57FE3208"/>
    <w:lvl w:ilvl="0" w:tplc="9648E7D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nsid w:val="798365C6"/>
    <w:multiLevelType w:val="multilevel"/>
    <w:tmpl w:val="E67CE66C"/>
    <w:numStyleLink w:val="StyleNumberedLeft0cmHanging075cm"/>
  </w:abstractNum>
  <w:abstractNum w:abstractNumId="51">
    <w:nsid w:val="7B401D0B"/>
    <w:multiLevelType w:val="hybridMultilevel"/>
    <w:tmpl w:val="E6ECB1D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2">
    <w:nsid w:val="7C0948EF"/>
    <w:multiLevelType w:val="hybridMultilevel"/>
    <w:tmpl w:val="6152E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D18478B"/>
    <w:multiLevelType w:val="hybridMultilevel"/>
    <w:tmpl w:val="A60A4F9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9"/>
  </w:num>
  <w:num w:numId="2">
    <w:abstractNumId w:val="47"/>
  </w:num>
  <w:num w:numId="3">
    <w:abstractNumId w:val="33"/>
  </w:num>
  <w:num w:numId="4">
    <w:abstractNumId w:val="23"/>
  </w:num>
  <w:num w:numId="5">
    <w:abstractNumId w:val="43"/>
  </w:num>
  <w:num w:numId="6">
    <w:abstractNumId w:val="49"/>
  </w:num>
  <w:num w:numId="7">
    <w:abstractNumId w:val="31"/>
  </w:num>
  <w:num w:numId="8">
    <w:abstractNumId w:val="27"/>
  </w:num>
  <w:num w:numId="9">
    <w:abstractNumId w:val="13"/>
  </w:num>
  <w:num w:numId="10">
    <w:abstractNumId w:val="19"/>
  </w:num>
  <w:num w:numId="11">
    <w:abstractNumId w:val="37"/>
  </w:num>
  <w:num w:numId="12">
    <w:abstractNumId w:val="35"/>
  </w:num>
  <w:num w:numId="13">
    <w:abstractNumId w:val="10"/>
  </w:num>
  <w:num w:numId="14">
    <w:abstractNumId w:val="50"/>
  </w:num>
  <w:num w:numId="15">
    <w:abstractNumId w:val="20"/>
  </w:num>
  <w:num w:numId="16">
    <w:abstractNumId w:val="11"/>
  </w:num>
  <w:num w:numId="17">
    <w:abstractNumId w:val="42"/>
  </w:num>
  <w:num w:numId="18">
    <w:abstractNumId w:val="12"/>
  </w:num>
  <w:num w:numId="19">
    <w:abstractNumId w:val="44"/>
  </w:num>
  <w:num w:numId="20">
    <w:abstractNumId w:val="21"/>
  </w:num>
  <w:num w:numId="21">
    <w:abstractNumId w:val="29"/>
  </w:num>
  <w:num w:numId="22">
    <w:abstractNumId w:val="14"/>
  </w:num>
  <w:num w:numId="23">
    <w:abstractNumId w:val="46"/>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7"/>
  </w:num>
  <w:num w:numId="35">
    <w:abstractNumId w:val="41"/>
  </w:num>
  <w:num w:numId="36">
    <w:abstractNumId w:val="40"/>
  </w:num>
  <w:num w:numId="37">
    <w:abstractNumId w:val="48"/>
  </w:num>
  <w:num w:numId="3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51"/>
  </w:num>
  <w:num w:numId="41">
    <w:abstractNumId w:val="25"/>
  </w:num>
  <w:num w:numId="4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 w:numId="45">
    <w:abstractNumId w:val="52"/>
  </w:num>
  <w:num w:numId="46">
    <w:abstractNumId w:val="24"/>
  </w:num>
  <w:num w:numId="47">
    <w:abstractNumId w:val="53"/>
  </w:num>
  <w:num w:numId="48">
    <w:abstractNumId w:val="22"/>
  </w:num>
  <w:num w:numId="49">
    <w:abstractNumId w:val="45"/>
  </w:num>
  <w:num w:numId="50">
    <w:abstractNumId w:val="36"/>
  </w:num>
  <w:num w:numId="51">
    <w:abstractNumId w:val="16"/>
  </w:num>
  <w:num w:numId="52">
    <w:abstractNumId w:val="15"/>
  </w:num>
  <w:num w:numId="53">
    <w:abstractNumId w:val="26"/>
  </w:num>
  <w:num w:numId="54">
    <w:abstractNumId w:val="18"/>
  </w:num>
  <w:num w:numId="55">
    <w:abstractNumId w:val="28"/>
  </w:num>
  <w:num w:numId="56">
    <w:abstractNumId w:val="38"/>
  </w:num>
  <w:num w:numId="57">
    <w:abstractNumId w:val="34"/>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vien Holland">
    <w15:presenceInfo w15:providerId="None" w15:userId="Vivien Hollan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432"/>
    <w:rsid w:val="000117D4"/>
    <w:rsid w:val="000128E2"/>
    <w:rsid w:val="00013274"/>
    <w:rsid w:val="000314D7"/>
    <w:rsid w:val="000415FE"/>
    <w:rsid w:val="000453DB"/>
    <w:rsid w:val="00045F8B"/>
    <w:rsid w:val="00046D2B"/>
    <w:rsid w:val="00047B7A"/>
    <w:rsid w:val="00054081"/>
    <w:rsid w:val="00056263"/>
    <w:rsid w:val="000572AF"/>
    <w:rsid w:val="00061968"/>
    <w:rsid w:val="000623AA"/>
    <w:rsid w:val="00064D8A"/>
    <w:rsid w:val="00064F82"/>
    <w:rsid w:val="00066510"/>
    <w:rsid w:val="00066744"/>
    <w:rsid w:val="000705A7"/>
    <w:rsid w:val="000741A6"/>
    <w:rsid w:val="00077523"/>
    <w:rsid w:val="00090D60"/>
    <w:rsid w:val="00096F80"/>
    <w:rsid w:val="000A0933"/>
    <w:rsid w:val="000A249E"/>
    <w:rsid w:val="000A284D"/>
    <w:rsid w:val="000C089F"/>
    <w:rsid w:val="000C3928"/>
    <w:rsid w:val="000C5E8E"/>
    <w:rsid w:val="000C5F2D"/>
    <w:rsid w:val="000C6AF9"/>
    <w:rsid w:val="000C7699"/>
    <w:rsid w:val="000E3B63"/>
    <w:rsid w:val="000E6855"/>
    <w:rsid w:val="000F119F"/>
    <w:rsid w:val="000F4751"/>
    <w:rsid w:val="000F57EC"/>
    <w:rsid w:val="0010524C"/>
    <w:rsid w:val="00111BD7"/>
    <w:rsid w:val="00111FB1"/>
    <w:rsid w:val="00113418"/>
    <w:rsid w:val="001224B2"/>
    <w:rsid w:val="00125D5D"/>
    <w:rsid w:val="0013213A"/>
    <w:rsid w:val="001356F1"/>
    <w:rsid w:val="00136994"/>
    <w:rsid w:val="0014128E"/>
    <w:rsid w:val="00151888"/>
    <w:rsid w:val="00156C58"/>
    <w:rsid w:val="00165840"/>
    <w:rsid w:val="00170A2D"/>
    <w:rsid w:val="00171591"/>
    <w:rsid w:val="0017653A"/>
    <w:rsid w:val="001808BC"/>
    <w:rsid w:val="00182B81"/>
    <w:rsid w:val="0018619D"/>
    <w:rsid w:val="001901D3"/>
    <w:rsid w:val="00191386"/>
    <w:rsid w:val="001A011E"/>
    <w:rsid w:val="001A066A"/>
    <w:rsid w:val="001A13E6"/>
    <w:rsid w:val="001A5731"/>
    <w:rsid w:val="001A584C"/>
    <w:rsid w:val="001B02DE"/>
    <w:rsid w:val="001B42C3"/>
    <w:rsid w:val="001C0E90"/>
    <w:rsid w:val="001C5D5E"/>
    <w:rsid w:val="001C6FAA"/>
    <w:rsid w:val="001D678D"/>
    <w:rsid w:val="001E03F8"/>
    <w:rsid w:val="001E1678"/>
    <w:rsid w:val="001E3376"/>
    <w:rsid w:val="001E473E"/>
    <w:rsid w:val="001E7A19"/>
    <w:rsid w:val="001F1726"/>
    <w:rsid w:val="001F7EBB"/>
    <w:rsid w:val="0020466E"/>
    <w:rsid w:val="00204F7F"/>
    <w:rsid w:val="002069B3"/>
    <w:rsid w:val="00212C37"/>
    <w:rsid w:val="00222614"/>
    <w:rsid w:val="002329CF"/>
    <w:rsid w:val="00232F5B"/>
    <w:rsid w:val="0024375B"/>
    <w:rsid w:val="00247C29"/>
    <w:rsid w:val="002548B0"/>
    <w:rsid w:val="00254EAF"/>
    <w:rsid w:val="00260467"/>
    <w:rsid w:val="00260974"/>
    <w:rsid w:val="00263EA3"/>
    <w:rsid w:val="002709B1"/>
    <w:rsid w:val="00272DE8"/>
    <w:rsid w:val="00273827"/>
    <w:rsid w:val="00284F85"/>
    <w:rsid w:val="00290915"/>
    <w:rsid w:val="00294020"/>
    <w:rsid w:val="002A22E2"/>
    <w:rsid w:val="002B21E8"/>
    <w:rsid w:val="002B2314"/>
    <w:rsid w:val="002B44E2"/>
    <w:rsid w:val="002B54C0"/>
    <w:rsid w:val="002B7DD7"/>
    <w:rsid w:val="002C1073"/>
    <w:rsid w:val="002C4F30"/>
    <w:rsid w:val="002C64F7"/>
    <w:rsid w:val="002D21D0"/>
    <w:rsid w:val="002F2071"/>
    <w:rsid w:val="002F41F2"/>
    <w:rsid w:val="00300A5D"/>
    <w:rsid w:val="00301BF3"/>
    <w:rsid w:val="0030208D"/>
    <w:rsid w:val="00321C01"/>
    <w:rsid w:val="00323418"/>
    <w:rsid w:val="003321DC"/>
    <w:rsid w:val="003357BF"/>
    <w:rsid w:val="00344397"/>
    <w:rsid w:val="00345FD4"/>
    <w:rsid w:val="0034740C"/>
    <w:rsid w:val="00350D5F"/>
    <w:rsid w:val="00363D5A"/>
    <w:rsid w:val="00364F45"/>
    <w:rsid w:val="00364FAD"/>
    <w:rsid w:val="0036738F"/>
    <w:rsid w:val="0036759C"/>
    <w:rsid w:val="00367AE5"/>
    <w:rsid w:val="00367D71"/>
    <w:rsid w:val="0038150A"/>
    <w:rsid w:val="0039667D"/>
    <w:rsid w:val="003A44D5"/>
    <w:rsid w:val="003B0C3B"/>
    <w:rsid w:val="003B6E75"/>
    <w:rsid w:val="003B7DA1"/>
    <w:rsid w:val="003C6562"/>
    <w:rsid w:val="003D0379"/>
    <w:rsid w:val="003D1ACD"/>
    <w:rsid w:val="003D2574"/>
    <w:rsid w:val="003D4C59"/>
    <w:rsid w:val="003D68E8"/>
    <w:rsid w:val="003F180F"/>
    <w:rsid w:val="003F4267"/>
    <w:rsid w:val="00404032"/>
    <w:rsid w:val="00404B17"/>
    <w:rsid w:val="0040736F"/>
    <w:rsid w:val="004115B2"/>
    <w:rsid w:val="00412C1F"/>
    <w:rsid w:val="00421CB2"/>
    <w:rsid w:val="00421D44"/>
    <w:rsid w:val="004268B9"/>
    <w:rsid w:val="0042738F"/>
    <w:rsid w:val="00433B96"/>
    <w:rsid w:val="004345FE"/>
    <w:rsid w:val="00443730"/>
    <w:rsid w:val="004440F1"/>
    <w:rsid w:val="004456DD"/>
    <w:rsid w:val="00445FDD"/>
    <w:rsid w:val="00446CDF"/>
    <w:rsid w:val="004521B7"/>
    <w:rsid w:val="00454FAF"/>
    <w:rsid w:val="004578C4"/>
    <w:rsid w:val="00461DC7"/>
    <w:rsid w:val="00462AB5"/>
    <w:rsid w:val="00464B6B"/>
    <w:rsid w:val="00465EAF"/>
    <w:rsid w:val="004667FD"/>
    <w:rsid w:val="0046729B"/>
    <w:rsid w:val="004738C5"/>
    <w:rsid w:val="00474432"/>
    <w:rsid w:val="00474E45"/>
    <w:rsid w:val="00484BC6"/>
    <w:rsid w:val="00491046"/>
    <w:rsid w:val="004917BD"/>
    <w:rsid w:val="004A15AA"/>
    <w:rsid w:val="004A2AC7"/>
    <w:rsid w:val="004A6D2F"/>
    <w:rsid w:val="004B1774"/>
    <w:rsid w:val="004B2446"/>
    <w:rsid w:val="004B327C"/>
    <w:rsid w:val="004C2887"/>
    <w:rsid w:val="004C472C"/>
    <w:rsid w:val="004D2120"/>
    <w:rsid w:val="004D2626"/>
    <w:rsid w:val="004D6E26"/>
    <w:rsid w:val="004D77D3"/>
    <w:rsid w:val="004E2959"/>
    <w:rsid w:val="004F20EF"/>
    <w:rsid w:val="004F7028"/>
    <w:rsid w:val="0050321C"/>
    <w:rsid w:val="00503632"/>
    <w:rsid w:val="00522DF2"/>
    <w:rsid w:val="00524441"/>
    <w:rsid w:val="0053287A"/>
    <w:rsid w:val="00533B3E"/>
    <w:rsid w:val="00534F2D"/>
    <w:rsid w:val="00535D7D"/>
    <w:rsid w:val="0054712D"/>
    <w:rsid w:val="00547EF6"/>
    <w:rsid w:val="00551CF6"/>
    <w:rsid w:val="00555762"/>
    <w:rsid w:val="005570B5"/>
    <w:rsid w:val="00567E18"/>
    <w:rsid w:val="005710F2"/>
    <w:rsid w:val="00575F5F"/>
    <w:rsid w:val="00581805"/>
    <w:rsid w:val="00585F76"/>
    <w:rsid w:val="00586B7C"/>
    <w:rsid w:val="005910B8"/>
    <w:rsid w:val="005952F4"/>
    <w:rsid w:val="005A34E4"/>
    <w:rsid w:val="005B17F2"/>
    <w:rsid w:val="005B2C58"/>
    <w:rsid w:val="005B51F2"/>
    <w:rsid w:val="005B7FB0"/>
    <w:rsid w:val="005C005A"/>
    <w:rsid w:val="005C1AC6"/>
    <w:rsid w:val="005C35A5"/>
    <w:rsid w:val="005C577C"/>
    <w:rsid w:val="005D0345"/>
    <w:rsid w:val="005D0621"/>
    <w:rsid w:val="005D1E27"/>
    <w:rsid w:val="005D2A3E"/>
    <w:rsid w:val="005E022E"/>
    <w:rsid w:val="005E39DA"/>
    <w:rsid w:val="005E5215"/>
    <w:rsid w:val="005F13E9"/>
    <w:rsid w:val="005F7F7E"/>
    <w:rsid w:val="00611BE3"/>
    <w:rsid w:val="00614693"/>
    <w:rsid w:val="00621959"/>
    <w:rsid w:val="00623C2F"/>
    <w:rsid w:val="0062450F"/>
    <w:rsid w:val="006276FF"/>
    <w:rsid w:val="0063274C"/>
    <w:rsid w:val="00633578"/>
    <w:rsid w:val="00637068"/>
    <w:rsid w:val="00640196"/>
    <w:rsid w:val="00642F41"/>
    <w:rsid w:val="00643201"/>
    <w:rsid w:val="00644F2D"/>
    <w:rsid w:val="00646048"/>
    <w:rsid w:val="0064635E"/>
    <w:rsid w:val="0064642D"/>
    <w:rsid w:val="00650811"/>
    <w:rsid w:val="00661D3E"/>
    <w:rsid w:val="0066483B"/>
    <w:rsid w:val="00675A0A"/>
    <w:rsid w:val="006779EB"/>
    <w:rsid w:val="0069233B"/>
    <w:rsid w:val="00692627"/>
    <w:rsid w:val="006969E7"/>
    <w:rsid w:val="006A34D5"/>
    <w:rsid w:val="006A3643"/>
    <w:rsid w:val="006B1964"/>
    <w:rsid w:val="006B4D16"/>
    <w:rsid w:val="006B6505"/>
    <w:rsid w:val="006C2926"/>
    <w:rsid w:val="006C2A29"/>
    <w:rsid w:val="006C64CF"/>
    <w:rsid w:val="006C7DB4"/>
    <w:rsid w:val="006D17B1"/>
    <w:rsid w:val="006D37B4"/>
    <w:rsid w:val="006D4752"/>
    <w:rsid w:val="006D708A"/>
    <w:rsid w:val="006E13FF"/>
    <w:rsid w:val="006E14C1"/>
    <w:rsid w:val="006F0292"/>
    <w:rsid w:val="006F129C"/>
    <w:rsid w:val="006F27FA"/>
    <w:rsid w:val="006F416B"/>
    <w:rsid w:val="006F519B"/>
    <w:rsid w:val="007057C7"/>
    <w:rsid w:val="00707281"/>
    <w:rsid w:val="0071166E"/>
    <w:rsid w:val="00711E50"/>
    <w:rsid w:val="00713675"/>
    <w:rsid w:val="00715823"/>
    <w:rsid w:val="00715F96"/>
    <w:rsid w:val="00725750"/>
    <w:rsid w:val="00736088"/>
    <w:rsid w:val="00737B93"/>
    <w:rsid w:val="00740B6B"/>
    <w:rsid w:val="007432E4"/>
    <w:rsid w:val="00744143"/>
    <w:rsid w:val="00745BF0"/>
    <w:rsid w:val="007615FE"/>
    <w:rsid w:val="0076655C"/>
    <w:rsid w:val="0077136C"/>
    <w:rsid w:val="007742DC"/>
    <w:rsid w:val="007829BE"/>
    <w:rsid w:val="00791437"/>
    <w:rsid w:val="00793CE3"/>
    <w:rsid w:val="007A27EA"/>
    <w:rsid w:val="007A4898"/>
    <w:rsid w:val="007B07F3"/>
    <w:rsid w:val="007B0C2C"/>
    <w:rsid w:val="007B278E"/>
    <w:rsid w:val="007B466F"/>
    <w:rsid w:val="007B7FFC"/>
    <w:rsid w:val="007C5C23"/>
    <w:rsid w:val="007D2B4D"/>
    <w:rsid w:val="007D546B"/>
    <w:rsid w:val="007E2A26"/>
    <w:rsid w:val="007F2348"/>
    <w:rsid w:val="007F660C"/>
    <w:rsid w:val="007F7BFF"/>
    <w:rsid w:val="00803F07"/>
    <w:rsid w:val="008044F6"/>
    <w:rsid w:val="0080749A"/>
    <w:rsid w:val="00812551"/>
    <w:rsid w:val="008137F7"/>
    <w:rsid w:val="00814F38"/>
    <w:rsid w:val="00816324"/>
    <w:rsid w:val="00821186"/>
    <w:rsid w:val="00821FB8"/>
    <w:rsid w:val="00822ACD"/>
    <w:rsid w:val="00835907"/>
    <w:rsid w:val="0083788C"/>
    <w:rsid w:val="00842543"/>
    <w:rsid w:val="0084379C"/>
    <w:rsid w:val="0084797A"/>
    <w:rsid w:val="00855C66"/>
    <w:rsid w:val="00855E56"/>
    <w:rsid w:val="008569E7"/>
    <w:rsid w:val="00857A31"/>
    <w:rsid w:val="00861896"/>
    <w:rsid w:val="00864E45"/>
    <w:rsid w:val="00866001"/>
    <w:rsid w:val="00871EE4"/>
    <w:rsid w:val="00875DD0"/>
    <w:rsid w:val="0088676D"/>
    <w:rsid w:val="008911CD"/>
    <w:rsid w:val="00891327"/>
    <w:rsid w:val="00896F78"/>
    <w:rsid w:val="008A4E98"/>
    <w:rsid w:val="008B161C"/>
    <w:rsid w:val="008B293F"/>
    <w:rsid w:val="008B7371"/>
    <w:rsid w:val="008C126C"/>
    <w:rsid w:val="008C29BB"/>
    <w:rsid w:val="008C60BA"/>
    <w:rsid w:val="008D0E29"/>
    <w:rsid w:val="008D3DDB"/>
    <w:rsid w:val="008E27B4"/>
    <w:rsid w:val="008E5700"/>
    <w:rsid w:val="008E5CB3"/>
    <w:rsid w:val="008F573F"/>
    <w:rsid w:val="008F656A"/>
    <w:rsid w:val="00903100"/>
    <w:rsid w:val="009034EC"/>
    <w:rsid w:val="00905E1B"/>
    <w:rsid w:val="009060E2"/>
    <w:rsid w:val="00925A6C"/>
    <w:rsid w:val="0093067A"/>
    <w:rsid w:val="00931B77"/>
    <w:rsid w:val="009323F0"/>
    <w:rsid w:val="009332A6"/>
    <w:rsid w:val="00934A3C"/>
    <w:rsid w:val="00941C60"/>
    <w:rsid w:val="009503ED"/>
    <w:rsid w:val="00950A99"/>
    <w:rsid w:val="0095702B"/>
    <w:rsid w:val="00966D42"/>
    <w:rsid w:val="00971689"/>
    <w:rsid w:val="00973E90"/>
    <w:rsid w:val="00975B07"/>
    <w:rsid w:val="00980B4A"/>
    <w:rsid w:val="00995CA8"/>
    <w:rsid w:val="00996FFD"/>
    <w:rsid w:val="009A1E34"/>
    <w:rsid w:val="009B2566"/>
    <w:rsid w:val="009C06E2"/>
    <w:rsid w:val="009E3D0A"/>
    <w:rsid w:val="009E42AA"/>
    <w:rsid w:val="009E51FC"/>
    <w:rsid w:val="009E61AC"/>
    <w:rsid w:val="009F14AE"/>
    <w:rsid w:val="009F1D28"/>
    <w:rsid w:val="009F36FB"/>
    <w:rsid w:val="009F546A"/>
    <w:rsid w:val="009F6894"/>
    <w:rsid w:val="009F7618"/>
    <w:rsid w:val="00A04D23"/>
    <w:rsid w:val="00A06766"/>
    <w:rsid w:val="00A11856"/>
    <w:rsid w:val="00A13765"/>
    <w:rsid w:val="00A203F7"/>
    <w:rsid w:val="00A2175E"/>
    <w:rsid w:val="00A21B12"/>
    <w:rsid w:val="00A23505"/>
    <w:rsid w:val="00A23F80"/>
    <w:rsid w:val="00A274E2"/>
    <w:rsid w:val="00A31995"/>
    <w:rsid w:val="00A35625"/>
    <w:rsid w:val="00A41590"/>
    <w:rsid w:val="00A46E98"/>
    <w:rsid w:val="00A6352B"/>
    <w:rsid w:val="00A65672"/>
    <w:rsid w:val="00A701B5"/>
    <w:rsid w:val="00A714BB"/>
    <w:rsid w:val="00A73CD5"/>
    <w:rsid w:val="00A77D69"/>
    <w:rsid w:val="00A81029"/>
    <w:rsid w:val="00A92D8F"/>
    <w:rsid w:val="00A9518B"/>
    <w:rsid w:val="00AA22A3"/>
    <w:rsid w:val="00AA7BA8"/>
    <w:rsid w:val="00AB0879"/>
    <w:rsid w:val="00AB2988"/>
    <w:rsid w:val="00AB7999"/>
    <w:rsid w:val="00AC6679"/>
    <w:rsid w:val="00AD3292"/>
    <w:rsid w:val="00AD3FEA"/>
    <w:rsid w:val="00AE7623"/>
    <w:rsid w:val="00AE7AF0"/>
    <w:rsid w:val="00AF1D5B"/>
    <w:rsid w:val="00AF65AF"/>
    <w:rsid w:val="00AF736A"/>
    <w:rsid w:val="00AF7BC5"/>
    <w:rsid w:val="00B04451"/>
    <w:rsid w:val="00B25475"/>
    <w:rsid w:val="00B3678E"/>
    <w:rsid w:val="00B442B3"/>
    <w:rsid w:val="00B45B52"/>
    <w:rsid w:val="00B500CA"/>
    <w:rsid w:val="00B511A6"/>
    <w:rsid w:val="00B63B07"/>
    <w:rsid w:val="00B70D91"/>
    <w:rsid w:val="00B7182C"/>
    <w:rsid w:val="00B850B6"/>
    <w:rsid w:val="00B86314"/>
    <w:rsid w:val="00B86C94"/>
    <w:rsid w:val="00B915CB"/>
    <w:rsid w:val="00BA1C2E"/>
    <w:rsid w:val="00BB5189"/>
    <w:rsid w:val="00BC1316"/>
    <w:rsid w:val="00BC200B"/>
    <w:rsid w:val="00BC4756"/>
    <w:rsid w:val="00BC55B1"/>
    <w:rsid w:val="00BC69A4"/>
    <w:rsid w:val="00BD78BB"/>
    <w:rsid w:val="00BE0680"/>
    <w:rsid w:val="00BE305F"/>
    <w:rsid w:val="00BE71AF"/>
    <w:rsid w:val="00BE7BA3"/>
    <w:rsid w:val="00BF120E"/>
    <w:rsid w:val="00BF5682"/>
    <w:rsid w:val="00BF7B09"/>
    <w:rsid w:val="00C15A0A"/>
    <w:rsid w:val="00C20A95"/>
    <w:rsid w:val="00C22858"/>
    <w:rsid w:val="00C2692F"/>
    <w:rsid w:val="00C3207C"/>
    <w:rsid w:val="00C36DD1"/>
    <w:rsid w:val="00C400E1"/>
    <w:rsid w:val="00C41187"/>
    <w:rsid w:val="00C63C31"/>
    <w:rsid w:val="00C70283"/>
    <w:rsid w:val="00C73D2D"/>
    <w:rsid w:val="00C757A0"/>
    <w:rsid w:val="00C760DE"/>
    <w:rsid w:val="00C81C06"/>
    <w:rsid w:val="00C82283"/>
    <w:rsid w:val="00C82630"/>
    <w:rsid w:val="00C83788"/>
    <w:rsid w:val="00C83EB0"/>
    <w:rsid w:val="00C84AE3"/>
    <w:rsid w:val="00C85B4E"/>
    <w:rsid w:val="00C907F7"/>
    <w:rsid w:val="00C9160D"/>
    <w:rsid w:val="00C91FF8"/>
    <w:rsid w:val="00C94958"/>
    <w:rsid w:val="00C973D3"/>
    <w:rsid w:val="00CA2103"/>
    <w:rsid w:val="00CA65B0"/>
    <w:rsid w:val="00CA7881"/>
    <w:rsid w:val="00CB00F0"/>
    <w:rsid w:val="00CB6B99"/>
    <w:rsid w:val="00CC1359"/>
    <w:rsid w:val="00CC6FAE"/>
    <w:rsid w:val="00CE00B4"/>
    <w:rsid w:val="00CE12F9"/>
    <w:rsid w:val="00CE4C87"/>
    <w:rsid w:val="00CE544A"/>
    <w:rsid w:val="00CF364F"/>
    <w:rsid w:val="00CF77E7"/>
    <w:rsid w:val="00D01C70"/>
    <w:rsid w:val="00D039F2"/>
    <w:rsid w:val="00D04FE4"/>
    <w:rsid w:val="00D10E39"/>
    <w:rsid w:val="00D11E1C"/>
    <w:rsid w:val="00D160B0"/>
    <w:rsid w:val="00D17F94"/>
    <w:rsid w:val="00D211D3"/>
    <w:rsid w:val="00D223FC"/>
    <w:rsid w:val="00D24B37"/>
    <w:rsid w:val="00D26D1E"/>
    <w:rsid w:val="00D27A37"/>
    <w:rsid w:val="00D32BC8"/>
    <w:rsid w:val="00D37AA7"/>
    <w:rsid w:val="00D404E5"/>
    <w:rsid w:val="00D41569"/>
    <w:rsid w:val="00D46662"/>
    <w:rsid w:val="00D474CF"/>
    <w:rsid w:val="00D5547E"/>
    <w:rsid w:val="00D71BBB"/>
    <w:rsid w:val="00D747CC"/>
    <w:rsid w:val="00D8124B"/>
    <w:rsid w:val="00D83A34"/>
    <w:rsid w:val="00D869A1"/>
    <w:rsid w:val="00DA24A0"/>
    <w:rsid w:val="00DA413F"/>
    <w:rsid w:val="00DA4584"/>
    <w:rsid w:val="00DA4D4B"/>
    <w:rsid w:val="00DA614B"/>
    <w:rsid w:val="00DB08DD"/>
    <w:rsid w:val="00DC11A8"/>
    <w:rsid w:val="00DC3060"/>
    <w:rsid w:val="00DD46A6"/>
    <w:rsid w:val="00DD77CF"/>
    <w:rsid w:val="00DE0FB2"/>
    <w:rsid w:val="00DE165A"/>
    <w:rsid w:val="00DF093E"/>
    <w:rsid w:val="00DF0B34"/>
    <w:rsid w:val="00DF572A"/>
    <w:rsid w:val="00E01F42"/>
    <w:rsid w:val="00E07A70"/>
    <w:rsid w:val="00E14A79"/>
    <w:rsid w:val="00E17E96"/>
    <w:rsid w:val="00E206D6"/>
    <w:rsid w:val="00E3366E"/>
    <w:rsid w:val="00E35303"/>
    <w:rsid w:val="00E52086"/>
    <w:rsid w:val="00E543A6"/>
    <w:rsid w:val="00E60342"/>
    <w:rsid w:val="00E60479"/>
    <w:rsid w:val="00E61D73"/>
    <w:rsid w:val="00E73684"/>
    <w:rsid w:val="00E818D6"/>
    <w:rsid w:val="00E86047"/>
    <w:rsid w:val="00E864B9"/>
    <w:rsid w:val="00E87216"/>
    <w:rsid w:val="00E87F7A"/>
    <w:rsid w:val="00E948B1"/>
    <w:rsid w:val="00E96BD7"/>
    <w:rsid w:val="00EA0DB1"/>
    <w:rsid w:val="00EA0EE9"/>
    <w:rsid w:val="00EA298A"/>
    <w:rsid w:val="00EA5650"/>
    <w:rsid w:val="00EA5FB4"/>
    <w:rsid w:val="00EB2CD2"/>
    <w:rsid w:val="00EB472F"/>
    <w:rsid w:val="00EC4562"/>
    <w:rsid w:val="00EC7011"/>
    <w:rsid w:val="00ED33B1"/>
    <w:rsid w:val="00ED52CA"/>
    <w:rsid w:val="00ED5860"/>
    <w:rsid w:val="00EE35C9"/>
    <w:rsid w:val="00EE3D11"/>
    <w:rsid w:val="00EE4636"/>
    <w:rsid w:val="00EE4C2D"/>
    <w:rsid w:val="00EF01A7"/>
    <w:rsid w:val="00EF4E35"/>
    <w:rsid w:val="00F0491F"/>
    <w:rsid w:val="00F05ECA"/>
    <w:rsid w:val="00F11514"/>
    <w:rsid w:val="00F2061B"/>
    <w:rsid w:val="00F3566E"/>
    <w:rsid w:val="00F35A3D"/>
    <w:rsid w:val="00F36973"/>
    <w:rsid w:val="00F375FB"/>
    <w:rsid w:val="00F41AC1"/>
    <w:rsid w:val="00F42642"/>
    <w:rsid w:val="00F4367A"/>
    <w:rsid w:val="00F445B1"/>
    <w:rsid w:val="00F45CD4"/>
    <w:rsid w:val="00F54E56"/>
    <w:rsid w:val="00F63940"/>
    <w:rsid w:val="00F64610"/>
    <w:rsid w:val="00F65C00"/>
    <w:rsid w:val="00F66BE5"/>
    <w:rsid w:val="00F66DCA"/>
    <w:rsid w:val="00F74750"/>
    <w:rsid w:val="00F74F53"/>
    <w:rsid w:val="00F7606D"/>
    <w:rsid w:val="00F76F0D"/>
    <w:rsid w:val="00F77B7A"/>
    <w:rsid w:val="00F81670"/>
    <w:rsid w:val="00F82024"/>
    <w:rsid w:val="00F863DF"/>
    <w:rsid w:val="00F92C35"/>
    <w:rsid w:val="00F95BC9"/>
    <w:rsid w:val="00F96225"/>
    <w:rsid w:val="00FA0BE5"/>
    <w:rsid w:val="00FA23B5"/>
    <w:rsid w:val="00FA30AE"/>
    <w:rsid w:val="00FA624C"/>
    <w:rsid w:val="00FB308A"/>
    <w:rsid w:val="00FC25A9"/>
    <w:rsid w:val="00FC4487"/>
    <w:rsid w:val="00FC448E"/>
    <w:rsid w:val="00FC4676"/>
    <w:rsid w:val="00FC66C0"/>
    <w:rsid w:val="00FC6D19"/>
    <w:rsid w:val="00FD0FAC"/>
    <w:rsid w:val="00FD1DFA"/>
    <w:rsid w:val="00FD4966"/>
    <w:rsid w:val="00FE57DC"/>
    <w:rsid w:val="00FF4454"/>
    <w:rsid w:val="00FF6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Subtitle" w:uiPriority="11"/>
    <w:lsdException w:name="Hyperlink" w:qFormat="1"/>
    <w:lsdException w:name="FollowedHyperlink" w:uiPriority="99"/>
    <w:lsdException w:name="Emphasis" w:uiPriority="20" w:qFormat="1"/>
    <w:lsdException w:name="Normal (Web)" w:uiPriority="99"/>
    <w:lsdException w:name="Balloo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link w:val="FooterChar"/>
    <w:uiPriority w:val="99"/>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link w:val="BalloonTextChar"/>
    <w:uiPriority w:val="99"/>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customStyle="1" w:styleId="Default">
    <w:name w:val="Default"/>
    <w:rsid w:val="00474E45"/>
    <w:pPr>
      <w:autoSpaceDE w:val="0"/>
      <w:autoSpaceDN w:val="0"/>
      <w:adjustRightInd w:val="0"/>
    </w:pPr>
    <w:rPr>
      <w:rFonts w:ascii="Garamond" w:hAnsi="Garamond" w:cs="Garamond"/>
      <w:color w:val="000000"/>
      <w:sz w:val="24"/>
      <w:szCs w:val="24"/>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styleId="Emphasis">
    <w:name w:val="Emphasis"/>
    <w:uiPriority w:val="20"/>
    <w:qFormat/>
    <w:rsid w:val="008B161C"/>
    <w:rPr>
      <w:i/>
      <w:iC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customStyle="1" w:styleId="BalloonTextChar">
    <w:name w:val="Balloon Text Char"/>
    <w:link w:val="BalloonText"/>
    <w:uiPriority w:val="99"/>
    <w:semiHidden/>
    <w:rsid w:val="000F57EC"/>
    <w:rPr>
      <w:rFonts w:ascii="Tahoma" w:hAnsi="Tahoma" w:cs="Tahoma"/>
      <w:color w:val="000000"/>
      <w:sz w:val="16"/>
      <w:szCs w:val="16"/>
    </w:rPr>
  </w:style>
  <w:style w:type="character" w:customStyle="1" w:styleId="FooterChar">
    <w:name w:val="Footer Char"/>
    <w:aliases w:val="zzFooter Char"/>
    <w:link w:val="Footer"/>
    <w:uiPriority w:val="99"/>
    <w:rsid w:val="004345FE"/>
    <w:rPr>
      <w:color w:val="000000"/>
      <w:sz w:val="18"/>
      <w:szCs w:val="24"/>
    </w:rPr>
  </w:style>
  <w:style w:type="character" w:customStyle="1" w:styleId="oecd-shared-footercopyright-first">
    <w:name w:val="oecd-shared-footer__copyright-first"/>
    <w:basedOn w:val="DefaultParagraphFont"/>
    <w:rsid w:val="00D10E39"/>
  </w:style>
  <w:style w:type="character" w:customStyle="1" w:styleId="oecd-shared-footercopyright-second">
    <w:name w:val="oecd-shared-footer__copyright-second"/>
    <w:basedOn w:val="DefaultParagraphFont"/>
    <w:rsid w:val="00D10E39"/>
  </w:style>
  <w:style w:type="character" w:styleId="FollowedHyperlink">
    <w:name w:val="FollowedHyperlink"/>
    <w:basedOn w:val="DefaultParagraphFont"/>
    <w:uiPriority w:val="99"/>
    <w:unhideWhenUsed/>
    <w:rsid w:val="00D83A3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Subtitle" w:uiPriority="11"/>
    <w:lsdException w:name="Hyperlink" w:qFormat="1"/>
    <w:lsdException w:name="FollowedHyperlink" w:uiPriority="99"/>
    <w:lsdException w:name="Emphasis" w:uiPriority="20" w:qFormat="1"/>
    <w:lsdException w:name="Normal (Web)" w:uiPriority="99"/>
    <w:lsdException w:name="Balloo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link w:val="FooterChar"/>
    <w:uiPriority w:val="99"/>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link w:val="BalloonTextChar"/>
    <w:uiPriority w:val="99"/>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customStyle="1" w:styleId="Default">
    <w:name w:val="Default"/>
    <w:rsid w:val="00474E45"/>
    <w:pPr>
      <w:autoSpaceDE w:val="0"/>
      <w:autoSpaceDN w:val="0"/>
      <w:adjustRightInd w:val="0"/>
    </w:pPr>
    <w:rPr>
      <w:rFonts w:ascii="Garamond" w:hAnsi="Garamond" w:cs="Garamond"/>
      <w:color w:val="000000"/>
      <w:sz w:val="24"/>
      <w:szCs w:val="24"/>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styleId="Emphasis">
    <w:name w:val="Emphasis"/>
    <w:uiPriority w:val="20"/>
    <w:qFormat/>
    <w:rsid w:val="008B161C"/>
    <w:rPr>
      <w:i/>
      <w:iC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customStyle="1" w:styleId="BalloonTextChar">
    <w:name w:val="Balloon Text Char"/>
    <w:link w:val="BalloonText"/>
    <w:uiPriority w:val="99"/>
    <w:semiHidden/>
    <w:rsid w:val="000F57EC"/>
    <w:rPr>
      <w:rFonts w:ascii="Tahoma" w:hAnsi="Tahoma" w:cs="Tahoma"/>
      <w:color w:val="000000"/>
      <w:sz w:val="16"/>
      <w:szCs w:val="16"/>
    </w:rPr>
  </w:style>
  <w:style w:type="character" w:customStyle="1" w:styleId="FooterChar">
    <w:name w:val="Footer Char"/>
    <w:aliases w:val="zzFooter Char"/>
    <w:link w:val="Footer"/>
    <w:uiPriority w:val="99"/>
    <w:rsid w:val="004345FE"/>
    <w:rPr>
      <w:color w:val="000000"/>
      <w:sz w:val="18"/>
      <w:szCs w:val="24"/>
    </w:rPr>
  </w:style>
  <w:style w:type="character" w:customStyle="1" w:styleId="oecd-shared-footercopyright-first">
    <w:name w:val="oecd-shared-footer__copyright-first"/>
    <w:basedOn w:val="DefaultParagraphFont"/>
    <w:rsid w:val="00D10E39"/>
  </w:style>
  <w:style w:type="character" w:customStyle="1" w:styleId="oecd-shared-footercopyright-second">
    <w:name w:val="oecd-shared-footer__copyright-second"/>
    <w:basedOn w:val="DefaultParagraphFont"/>
    <w:rsid w:val="00D10E39"/>
  </w:style>
  <w:style w:type="character" w:styleId="FollowedHyperlink">
    <w:name w:val="FollowedHyperlink"/>
    <w:basedOn w:val="DefaultParagraphFont"/>
    <w:uiPriority w:val="99"/>
    <w:unhideWhenUsed/>
    <w:rsid w:val="00D83A3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42279">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83972254">
      <w:bodyDiv w:val="1"/>
      <w:marLeft w:val="0"/>
      <w:marRight w:val="0"/>
      <w:marTop w:val="0"/>
      <w:marBottom w:val="0"/>
      <w:divBdr>
        <w:top w:val="none" w:sz="0" w:space="0" w:color="auto"/>
        <w:left w:val="none" w:sz="0" w:space="0" w:color="auto"/>
        <w:bottom w:val="none" w:sz="0" w:space="0" w:color="auto"/>
        <w:right w:val="none" w:sz="0" w:space="0" w:color="auto"/>
      </w:divBdr>
    </w:div>
    <w:div w:id="1051734920">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297831499">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83869305">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62868843">
      <w:bodyDiv w:val="1"/>
      <w:marLeft w:val="0"/>
      <w:marRight w:val="0"/>
      <w:marTop w:val="0"/>
      <w:marBottom w:val="0"/>
      <w:divBdr>
        <w:top w:val="none" w:sz="0" w:space="0" w:color="auto"/>
        <w:left w:val="none" w:sz="0" w:space="0" w:color="auto"/>
        <w:bottom w:val="none" w:sz="0" w:space="0" w:color="auto"/>
        <w:right w:val="none" w:sz="0" w:space="0" w:color="auto"/>
      </w:divBdr>
    </w:div>
    <w:div w:id="1587495862">
      <w:bodyDiv w:val="1"/>
      <w:marLeft w:val="0"/>
      <w:marRight w:val="0"/>
      <w:marTop w:val="0"/>
      <w:marBottom w:val="0"/>
      <w:divBdr>
        <w:top w:val="none" w:sz="0" w:space="0" w:color="auto"/>
        <w:left w:val="none" w:sz="0" w:space="0" w:color="auto"/>
        <w:bottom w:val="none" w:sz="0" w:space="0" w:color="auto"/>
        <w:right w:val="none" w:sz="0" w:space="0" w:color="auto"/>
      </w:divBdr>
      <w:divsChild>
        <w:div w:id="15236451">
          <w:marLeft w:val="0"/>
          <w:marRight w:val="0"/>
          <w:marTop w:val="0"/>
          <w:marBottom w:val="0"/>
          <w:divBdr>
            <w:top w:val="none" w:sz="0" w:space="0" w:color="auto"/>
            <w:left w:val="none" w:sz="0" w:space="0" w:color="auto"/>
            <w:bottom w:val="none" w:sz="0" w:space="0" w:color="auto"/>
            <w:right w:val="none" w:sz="0" w:space="0" w:color="auto"/>
          </w:divBdr>
          <w:divsChild>
            <w:div w:id="477456605">
              <w:marLeft w:val="0"/>
              <w:marRight w:val="0"/>
              <w:marTop w:val="0"/>
              <w:marBottom w:val="0"/>
              <w:divBdr>
                <w:top w:val="none" w:sz="0" w:space="0" w:color="auto"/>
                <w:left w:val="none" w:sz="0" w:space="0" w:color="auto"/>
                <w:bottom w:val="none" w:sz="0" w:space="0" w:color="auto"/>
                <w:right w:val="none" w:sz="0" w:space="0" w:color="auto"/>
              </w:divBdr>
              <w:divsChild>
                <w:div w:id="174745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326452">
      <w:bodyDiv w:val="1"/>
      <w:marLeft w:val="0"/>
      <w:marRight w:val="0"/>
      <w:marTop w:val="0"/>
      <w:marBottom w:val="0"/>
      <w:divBdr>
        <w:top w:val="none" w:sz="0" w:space="0" w:color="auto"/>
        <w:left w:val="none" w:sz="0" w:space="0" w:color="auto"/>
        <w:bottom w:val="none" w:sz="0" w:space="0" w:color="auto"/>
        <w:right w:val="none" w:sz="0" w:space="0" w:color="auto"/>
      </w:divBdr>
    </w:div>
    <w:div w:id="1996373367">
      <w:bodyDiv w:val="1"/>
      <w:marLeft w:val="0"/>
      <w:marRight w:val="0"/>
      <w:marTop w:val="0"/>
      <w:marBottom w:val="0"/>
      <w:divBdr>
        <w:top w:val="none" w:sz="0" w:space="0" w:color="auto"/>
        <w:left w:val="none" w:sz="0" w:space="0" w:color="auto"/>
        <w:bottom w:val="none" w:sz="0" w:space="0" w:color="auto"/>
        <w:right w:val="none" w:sz="0" w:space="0" w:color="auto"/>
      </w:divBdr>
    </w:div>
    <w:div w:id="2001231619">
      <w:bodyDiv w:val="1"/>
      <w:marLeft w:val="0"/>
      <w:marRight w:val="0"/>
      <w:marTop w:val="0"/>
      <w:marBottom w:val="0"/>
      <w:divBdr>
        <w:top w:val="none" w:sz="0" w:space="0" w:color="auto"/>
        <w:left w:val="none" w:sz="0" w:space="0" w:color="auto"/>
        <w:bottom w:val="none" w:sz="0" w:space="0" w:color="auto"/>
        <w:right w:val="none" w:sz="0" w:space="0" w:color="auto"/>
      </w:divBdr>
    </w:div>
    <w:div w:id="214468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cid:image002.png@01D27BCA.97FBD680"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10710-C51E-49AF-8AFB-0A808E41A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6C23DBEB</Template>
  <TotalTime>30</TotalTime>
  <Pages>10</Pages>
  <Words>3507</Words>
  <Characters>18787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Vivien Holland</dc:creator>
  <cp:lastModifiedBy>sclaridge</cp:lastModifiedBy>
  <cp:revision>5</cp:revision>
  <cp:lastPrinted>2017-02-01T15:25:00Z</cp:lastPrinted>
  <dcterms:created xsi:type="dcterms:W3CDTF">2017-02-10T12:28:00Z</dcterms:created>
  <dcterms:modified xsi:type="dcterms:W3CDTF">2017-02-17T11:16:00Z</dcterms:modified>
</cp:coreProperties>
</file>